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0A0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88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场地租赁协议</w:t>
      </w:r>
    </w:p>
    <w:p w14:paraId="2B079C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482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sz w:val="24"/>
          <w:szCs w:val="24"/>
        </w:rPr>
      </w:pPr>
    </w:p>
    <w:p w14:paraId="2A1AC6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（出租方）：常州产城智慧运营管理有限公司（以下简称“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”）</w:t>
      </w:r>
    </w:p>
    <w:p w14:paraId="0F886A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地址：</w:t>
      </w:r>
    </w:p>
    <w:p w14:paraId="6CE226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乙方（承租方）：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（以下简称“乙方”）</w:t>
      </w:r>
    </w:p>
    <w:p w14:paraId="3AF179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地址：</w:t>
      </w:r>
    </w:p>
    <w:p w14:paraId="4C5304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  <w:lang w:val="en-US"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  <w:lang w:eastAsia="zh-CN"/>
        </w:rPr>
        <w:t>方</w:t>
      </w: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</w:rPr>
        <w:t>和</w:t>
      </w: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  <w:lang w:val="en-US" w:eastAsia="zh-CN"/>
        </w:rPr>
        <w:t>乙</w:t>
      </w: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  <w:lang w:eastAsia="zh-CN"/>
        </w:rPr>
        <w:t>方</w:t>
      </w: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</w:rPr>
        <w:t>以下合称为“双方”，单独称为“一方”。</w:t>
      </w:r>
    </w:p>
    <w:p w14:paraId="19431D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</w:rPr>
        <w:t>依据《中华人民共和国民法典》及相关法律规定，甲方与乙方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本着平等、自愿、公正、诚信的原则，通过友好协商，就乙方租赁甲方位于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的场地，甲方持有或依法取得合法授权出租该场地，乙方按合同约定向甲方支付租金，双方达成如下协议：</w:t>
      </w:r>
    </w:p>
    <w:p w14:paraId="3CA874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2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第一条　场地及用途</w:t>
      </w:r>
    </w:p>
    <w:p w14:paraId="075255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（一）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同意将坐落于常州市新北区春江人家南侧春政路停车场东侧区域，共计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个停车位，总面积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㎡（单个车位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㎡）的场地出租给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，专门用于自助洗车站点建设、设备安装及自助洗车经营使用；若乙方要变更业态或品牌，需征得甲方书面同意。在合同期限内，未经甲方书面同意，乙方不得擅自变更该场地的业态和品牌，否则甲方有权无责解除本协议。</w:t>
      </w:r>
    </w:p>
    <w:p w14:paraId="4FF717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（二）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仅按现状交付场地，不承诺、不保证场地现有给排水、电力、排污、雨污分流满足洗车经营条件。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如需进行自来水改造、排污改造、雨污分流、地面硬化防滑、管线铺设等全部改造工程，由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自行向各主管部门办理全部报批手续，承担全部工程、审批、检测费用。</w:t>
      </w:r>
    </w:p>
    <w:p w14:paraId="678D9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（三）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购置、安装的全部自助洗车一体机、污水沉淀处理设备、监控、照明、管线等全部设施设备所有权归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所有。租赁期内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仅拥有约定范围内经营使用权，不得转租、转借，不得擅自改动停车场主体结构；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不享有停车场车位停车收费权限，停车场全部停车收费权、停车经营收益全部归属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。</w:t>
      </w:r>
    </w:p>
    <w:p w14:paraId="43B4F5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（四）租赁期间，若乙方实际使用场地面积超出本协议载明租赁面积，超出部分租金按本协议约定租金单价标准计算，与当期租金同步支付。甲方有权对实际使用面积进行复核，乙方应当配合现场丈量。</w:t>
      </w:r>
    </w:p>
    <w:p w14:paraId="56275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2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第二条　交付及租赁期限</w:t>
      </w:r>
    </w:p>
    <w:p w14:paraId="61130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</w:rPr>
        <w:t>（一）租赁期限5年，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  <w:t>从   年  月  日起至  年   月  日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止；免租期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个月，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  <w:t>即从   年   月   日起至   年   月   日止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</w:rPr>
        <w:t>若因乙方原因导致合同约定的期限未能履行完毕，则乙方将按实际租赁期限占合同约定租赁期限的比例计算免租期。</w:t>
      </w:r>
    </w:p>
    <w:p w14:paraId="62564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</w:rPr>
        <w:t>（二）租赁期满，</w:t>
      </w: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</w:rPr>
        <w:t>同等条件下享有优先承租权；</w:t>
      </w: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  <w:lang w:eastAsia="zh-CN"/>
        </w:rPr>
        <w:t>乙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不再续租，应当于租赁到期前2个月向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提交书面告知。</w:t>
      </w:r>
    </w:p>
    <w:p w14:paraId="665515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（三）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按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附件一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场地现状向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交付场地。</w:t>
      </w:r>
    </w:p>
    <w:p w14:paraId="755F2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2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第三条　费用支付</w:t>
      </w:r>
    </w:p>
    <w:p w14:paraId="21164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（一）租金标准：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元/月/车位（含税，税率9%），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个车位月度租金合计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元，年度含税租金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元；租金执行先付后用，按年支付。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收到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开具9%增值税专用发票后30日内向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支付当期年度租金。</w:t>
      </w:r>
    </w:p>
    <w:tbl>
      <w:tblPr>
        <w:tblStyle w:val="32"/>
        <w:tblpPr w:leftFromText="180" w:rightFromText="180" w:vertAnchor="text" w:tblpXSpec="center" w:tblpY="1"/>
        <w:tblOverlap w:val="never"/>
        <w:tblW w:w="9692" w:type="dxa"/>
        <w:tblInd w:w="-71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2"/>
        <w:gridCol w:w="2838"/>
        <w:gridCol w:w="2372"/>
        <w:gridCol w:w="2690"/>
      </w:tblGrid>
      <w:tr w14:paraId="14EAA5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5B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highlight w:val="none"/>
                <w:lang w:eastAsia="zh-CN" w:bidi="ar"/>
              </w:rPr>
              <w:t>合同期限</w:t>
            </w:r>
          </w:p>
        </w:tc>
        <w:tc>
          <w:tcPr>
            <w:tcW w:w="2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23B0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highlight w:val="none"/>
                <w:lang w:eastAsia="zh-CN" w:bidi="ar"/>
              </w:rPr>
              <w:t>租金</w:t>
            </w:r>
          </w:p>
          <w:p w14:paraId="5F4A0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highlight w:val="none"/>
                <w:lang w:eastAsia="zh-CN" w:bidi="ar"/>
              </w:rPr>
              <w:t>（人民币元，含税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highlight w:val="none"/>
                <w:lang w:eastAsia="zh-CN" w:bidi="ar"/>
              </w:rPr>
              <w:t>%）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C68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highlight w:val="none"/>
                <w:lang w:eastAsia="zh-CN" w:bidi="ar"/>
              </w:rPr>
              <w:t>租金</w:t>
            </w:r>
          </w:p>
          <w:p w14:paraId="614AD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highlight w:val="none"/>
                <w:lang w:eastAsia="zh-CN" w:bidi="ar"/>
              </w:rPr>
              <w:t>（人民币元，不含税）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3F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highlight w:val="none"/>
                <w:lang w:eastAsia="zh-CN" w:bidi="ar"/>
              </w:rPr>
              <w:t>租金支付时间</w:t>
            </w:r>
          </w:p>
        </w:tc>
      </w:tr>
      <w:tr w14:paraId="4E4EE1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061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2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28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5C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2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2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ECCC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2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14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eastAsia="zh-CN"/>
              </w:rPr>
              <w:t>免租   个月</w:t>
            </w:r>
          </w:p>
        </w:tc>
      </w:tr>
      <w:tr w14:paraId="1823BD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91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2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28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82E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2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2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6CFB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2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391A8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2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7C2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val="en-US" w:eastAsia="zh-CN"/>
              </w:rPr>
              <w:t>合同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eastAsia="zh-CN"/>
              </w:rPr>
              <w:t>签订之日起10个工作日内支付</w:t>
            </w:r>
          </w:p>
        </w:tc>
      </w:tr>
      <w:tr w14:paraId="7443F5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A93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2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28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8F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2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2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5C07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20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F0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eastAsia="zh-CN"/>
              </w:rPr>
              <w:t>年  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highlight w:val="none"/>
                <w:lang w:eastAsia="zh-CN"/>
              </w:rPr>
              <w:t>日前支付</w:t>
            </w:r>
          </w:p>
        </w:tc>
      </w:tr>
      <w:tr w14:paraId="197344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17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7CE3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1"/>
                <w:szCs w:val="21"/>
                <w:highlight w:val="none"/>
                <w:lang w:eastAsia="zh-CN"/>
              </w:rPr>
              <w:t>合计</w:t>
            </w:r>
          </w:p>
        </w:tc>
        <w:tc>
          <w:tcPr>
            <w:tcW w:w="28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6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22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237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859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22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35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422" w:firstLineChars="20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</w:tbl>
    <w:p w14:paraId="4C779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（二）履约保证金：签订本协议时，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一次性向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缴纳履约保证金人民币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u w:val="single"/>
          <w:lang w:val="en-US" w:eastAsia="zh-CN"/>
        </w:rPr>
        <w:t>10000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元。该保证金可抵扣欠缴租金、违约金、场地损坏修复费、排污整改费、设备拆除清运及合同项下其他全部应付费用。合同终止，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完成撤场复原，结清全部应付款项后，剩余保证金无息退还。</w:t>
      </w:r>
    </w:p>
    <w:p w14:paraId="78F2D7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（三）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val="en-US" w:eastAsia="zh-CN"/>
        </w:rPr>
        <w:t>甲、乙方账户信息</w:t>
      </w:r>
    </w:p>
    <w:p w14:paraId="6A95EE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sz w:val="24"/>
          <w:szCs w:val="24"/>
          <w:lang w:val="en-US"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val="en-US" w:eastAsia="zh-CN"/>
        </w:rPr>
        <w:t>收款</w:t>
      </w:r>
      <w:r>
        <w:rPr>
          <w:rFonts w:hint="default" w:ascii="仿宋_GB2312" w:hAnsi="仿宋_GB2312" w:eastAsia="仿宋_GB2312" w:cs="仿宋_GB2312"/>
          <w:b w:val="0"/>
          <w:sz w:val="24"/>
          <w:szCs w:val="24"/>
          <w:lang w:val="en-US" w:eastAsia="zh-CN"/>
        </w:rPr>
        <w:t>账户信息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val="en-US" w:eastAsia="zh-CN"/>
        </w:rPr>
        <w:t>如下：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21"/>
        <w:gridCol w:w="5051"/>
      </w:tblGrid>
      <w:tr w14:paraId="6905F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4021" w:type="dxa"/>
            <w:shd w:val="clear" w:color="auto" w:fill="F2F2F2"/>
            <w:vAlign w:val="center"/>
          </w:tcPr>
          <w:p w14:paraId="35A590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2" w:firstLineChars="20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账户名称</w:t>
            </w:r>
          </w:p>
        </w:tc>
        <w:tc>
          <w:tcPr>
            <w:tcW w:w="5051" w:type="dxa"/>
            <w:vAlign w:val="center"/>
          </w:tcPr>
          <w:p w14:paraId="238C6B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47AC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21" w:type="dxa"/>
            <w:shd w:val="clear" w:color="auto" w:fill="F2F2F2"/>
            <w:vAlign w:val="center"/>
          </w:tcPr>
          <w:p w14:paraId="59C63D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2" w:firstLineChars="20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开户银行</w:t>
            </w:r>
          </w:p>
        </w:tc>
        <w:tc>
          <w:tcPr>
            <w:tcW w:w="5051" w:type="dxa"/>
            <w:vAlign w:val="center"/>
          </w:tcPr>
          <w:p w14:paraId="4BAF2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5D0C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21" w:type="dxa"/>
            <w:shd w:val="clear" w:color="auto" w:fill="F2F2F2"/>
            <w:vAlign w:val="center"/>
          </w:tcPr>
          <w:p w14:paraId="68E137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2" w:firstLineChars="20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收款账号</w:t>
            </w:r>
          </w:p>
        </w:tc>
        <w:tc>
          <w:tcPr>
            <w:tcW w:w="5051" w:type="dxa"/>
            <w:vAlign w:val="center"/>
          </w:tcPr>
          <w:p w14:paraId="252B2F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030530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  <w:lang w:val="en-US" w:eastAsia="zh-CN"/>
        </w:rPr>
        <w:t>乙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开票信息如下：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21"/>
        <w:gridCol w:w="5051"/>
      </w:tblGrid>
      <w:tr w14:paraId="55E51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4021" w:type="dxa"/>
            <w:shd w:val="clear" w:color="auto" w:fill="F2F2F2"/>
            <w:vAlign w:val="center"/>
          </w:tcPr>
          <w:p w14:paraId="5D2C8C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2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公司名称</w:t>
            </w:r>
          </w:p>
        </w:tc>
        <w:tc>
          <w:tcPr>
            <w:tcW w:w="5051" w:type="dxa"/>
            <w:vAlign w:val="center"/>
          </w:tcPr>
          <w:p w14:paraId="3A3FFE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C2DB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21" w:type="dxa"/>
            <w:shd w:val="clear" w:color="auto" w:fill="F2F2F2"/>
            <w:vAlign w:val="center"/>
          </w:tcPr>
          <w:p w14:paraId="274496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2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地址</w:t>
            </w:r>
          </w:p>
        </w:tc>
        <w:tc>
          <w:tcPr>
            <w:tcW w:w="5051" w:type="dxa"/>
            <w:vAlign w:val="center"/>
          </w:tcPr>
          <w:p w14:paraId="2E502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E555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21" w:type="dxa"/>
            <w:shd w:val="clear" w:color="auto" w:fill="F2F2F2"/>
            <w:vAlign w:val="center"/>
          </w:tcPr>
          <w:p w14:paraId="66C71F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2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电话</w:t>
            </w:r>
          </w:p>
        </w:tc>
        <w:tc>
          <w:tcPr>
            <w:tcW w:w="5051" w:type="dxa"/>
            <w:vAlign w:val="center"/>
          </w:tcPr>
          <w:p w14:paraId="4A71A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9E3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21" w:type="dxa"/>
            <w:shd w:val="clear" w:color="auto" w:fill="F2F2F2"/>
            <w:vAlign w:val="center"/>
          </w:tcPr>
          <w:p w14:paraId="2DD975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2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税号</w:t>
            </w:r>
          </w:p>
        </w:tc>
        <w:tc>
          <w:tcPr>
            <w:tcW w:w="5051" w:type="dxa"/>
            <w:vAlign w:val="center"/>
          </w:tcPr>
          <w:p w14:paraId="439F24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82BA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21" w:type="dxa"/>
            <w:shd w:val="clear" w:color="auto" w:fill="F2F2F2"/>
            <w:vAlign w:val="center"/>
          </w:tcPr>
          <w:p w14:paraId="46AD8B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2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开户行</w:t>
            </w:r>
          </w:p>
        </w:tc>
        <w:tc>
          <w:tcPr>
            <w:tcW w:w="5051" w:type="dxa"/>
            <w:vAlign w:val="center"/>
          </w:tcPr>
          <w:p w14:paraId="7AE2D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73C1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021" w:type="dxa"/>
            <w:shd w:val="clear" w:color="auto" w:fill="F2F2F2"/>
            <w:vAlign w:val="center"/>
          </w:tcPr>
          <w:p w14:paraId="4CDEC4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2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账号</w:t>
            </w:r>
          </w:p>
        </w:tc>
        <w:tc>
          <w:tcPr>
            <w:tcW w:w="5051" w:type="dxa"/>
            <w:vAlign w:val="center"/>
          </w:tcPr>
          <w:p w14:paraId="43E591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597E0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（四）除本协议另有书面约定，本协议租金为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全部对价，不含水费、电费、改造费、排污费、行政规费等其他一切费用。</w:t>
      </w:r>
    </w:p>
    <w:p w14:paraId="0E9E4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（五）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更换收款账户，应当提前30日书面通知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，不得增加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支付成本。</w:t>
      </w:r>
    </w:p>
    <w:p w14:paraId="0E61E7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（六）若国家税收政策调整，增值税税率变动，则不含税租金价格保持不变，含税总价相应调整；调整后含税总价=不含税价格×(1+新税率)。</w:t>
      </w:r>
    </w:p>
    <w:p w14:paraId="3E8734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2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第四条　</w:t>
      </w:r>
      <w:r>
        <w:rPr>
          <w:rFonts w:hint="eastAsia" w:ascii="仿宋_GB2312" w:hAnsi="仿宋_GB2312" w:eastAsia="仿宋_GB2312" w:cs="仿宋_GB2312"/>
          <w:b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/>
          <w:sz w:val="24"/>
          <w:szCs w:val="24"/>
        </w:rPr>
        <w:t>权利与义务</w:t>
      </w:r>
    </w:p>
    <w:p w14:paraId="458212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（一）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保证对租赁场地具备合法出租权利，保障场地合法使用，提供场地产权相关资料</w:t>
      </w:r>
      <w:r>
        <w:rPr>
          <w:rFonts w:hint="eastAsia" w:ascii="仿宋_GB2312" w:hAnsi="仿宋_GB2312" w:eastAsia="仿宋_GB2312" w:cs="仿宋_GB2312"/>
          <w:b w:val="0"/>
          <w:color w:val="auto"/>
          <w:sz w:val="24"/>
          <w:szCs w:val="24"/>
        </w:rPr>
        <w:t>复印件，配合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施工外部协调，维护停车场整体停车秩序。</w:t>
      </w:r>
    </w:p>
    <w:p w14:paraId="2CEAF8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（二）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不承担洗车业务给排水、排污、电力配套改造义务；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办理行政审批、备案时，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可在合理范围内予以配合出具现有权属资料，但不承担报批结果责任。</w:t>
      </w:r>
    </w:p>
    <w:p w14:paraId="72AA2B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（三）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已将场地地下管线情况现状告知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，施工前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应当现场踏勘复核，地下管线损坏全部责任由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承担。</w:t>
      </w:r>
    </w:p>
    <w:p w14:paraId="69B989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（四）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有权监督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经营行为，如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出现污水乱排、扰民、破坏场地、违规转租等情形，有权要求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限期整改。</w:t>
      </w:r>
    </w:p>
    <w:p w14:paraId="600CFA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（五）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有权进入租赁场地进行安全巡查，提前合理时间告知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。</w:t>
      </w:r>
    </w:p>
    <w:p w14:paraId="777D5F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2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第五条　</w:t>
      </w:r>
      <w:r>
        <w:rPr>
          <w:rFonts w:hint="eastAsia" w:ascii="仿宋_GB2312" w:hAnsi="仿宋_GB2312" w:eastAsia="仿宋_GB2312" w:cs="仿宋_GB2312"/>
          <w:b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/>
          <w:sz w:val="24"/>
          <w:szCs w:val="24"/>
        </w:rPr>
        <w:t>权利与义务</w:t>
      </w:r>
    </w:p>
    <w:p w14:paraId="62462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（一）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承担本自助洗车项目全部安全生产主体责任、全部经营、环保、市容、水务合规责任，依法合规开展自助洗车经营。因本项目产生12345工单、消费纠纷、周边扰民投诉、环保行政处罚、人身财产损害、舆情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事件，全部由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独立处置、承担全部费用、法律及经济赔偿责任。如导致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被追责赔付，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有权全额向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追偿。</w:t>
      </w:r>
    </w:p>
    <w:p w14:paraId="124B3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（二）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负责全部设备采购、土建改造、管线施工、手续报批、运维管理；施工改造方案须提前书面报送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，取得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书面同意后方可进场施工，不得破坏停车场原有主体、道路、排水基础。</w:t>
      </w:r>
    </w:p>
    <w:p w14:paraId="11377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（三）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建立24小时故障响应机制，设备故障后运维人员须3小时内到场排查抢修，降低设备停运时长；定期清扫场地积水、垃圾、污水沉淀物，保持场地整洁，满足市容环保要求。</w:t>
      </w:r>
    </w:p>
    <w:p w14:paraId="61B2A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（四）租赁期届满或协议提前终止，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应当完成撤场复原：自行拆除清运自有全部设备、管线、构筑物，清理场地，恢复至租赁初始交付状态，经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验收通过。未完成复原，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有权使用履约保证金抵扣复原、清运费用，不足部分继续向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追偿。</w:t>
      </w:r>
    </w:p>
    <w:p w14:paraId="59AE57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（五）水费由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自行与供水接入单位独立结算。电费方面，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自行安装峰平谷计量电表，与常州宇晖科技发展有限公司签署《用电协议》，按月结算电费及损耗分摊。</w:t>
      </w:r>
    </w:p>
    <w:p w14:paraId="79F52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（六）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应当配置污水沉淀处理设施，落实雨污分流，确保洗车污水达标排放，接受环保、水务部门监管。</w:t>
      </w:r>
    </w:p>
    <w:p w14:paraId="474B6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本场地邻近蔚来换电站，乙方在施工及经营过程中，应妥善做好排水等方面管控，尽量避免对相邻业态的正常运营造成不利影响。如因乙方施工或经营行为给相邻方带来损失，由乙方承担相应赔偿责任；若因此导致甲方遭受索赔或损失的，甲方有权向乙方进行追偿。</w:t>
      </w:r>
      <w:bookmarkStart w:id="0" w:name="_GoBack"/>
      <w:bookmarkEnd w:id="0"/>
    </w:p>
    <w:p w14:paraId="7E229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2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第六条　协议终止</w:t>
      </w:r>
    </w:p>
    <w:p w14:paraId="01989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（一）除本协议约定或双方书面协商一致，任何一方不得无理由单方提前终止本协议。</w:t>
      </w:r>
    </w:p>
    <w:p w14:paraId="36F13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（二）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有权提前7日书面通知，单方解除本协议且不承担违约责任的情形：</w:t>
      </w:r>
    </w:p>
    <w:p w14:paraId="7191A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1.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逾期支付租金，收到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书面催缴通知30日内仍未足额缴纳；</w:t>
      </w:r>
    </w:p>
    <w:p w14:paraId="660E2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2.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存在污水直排、扰民、擅自转租、破坏场地主体结构，收到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书面整改通知，在合理期限内拒不整改；</w:t>
      </w:r>
    </w:p>
    <w:p w14:paraId="6F4A7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3.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出现重大安全、环保事故，拒不处置整改。</w:t>
      </w:r>
    </w:p>
    <w:p w14:paraId="1301A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（三）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有权提前7日书面通知，单方解除本协议且不承担违约责任的情形：</w:t>
      </w:r>
    </w:p>
    <w:p w14:paraId="2CB5B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1.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无法保障场地合法交付，经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书面催告30日仍无法交付；</w:t>
      </w:r>
    </w:p>
    <w:p w14:paraId="38D09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2.场地发生权属纠纷、存在重大安全隐患，导致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完全无法开展经营，催告后不能消除。</w:t>
      </w:r>
    </w:p>
    <w:p w14:paraId="4C5AD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（四）不可抗力解除：因城市规划、土地开发、政府征收等不可抗力需要提前收回场地，该洗车设施被政府认定为违建需拆除的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双方可协商终止合同，互不承担违约责任；受不可抗力一方7日内书面通知对方；若不可抗力持续影响履行超过30日，任意一方可提前30日书面通知终止协议。</w:t>
      </w:r>
    </w:p>
    <w:p w14:paraId="304ADE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2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第七条　违约及赔偿</w:t>
      </w:r>
    </w:p>
    <w:p w14:paraId="670284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（一）任何一方未履行本协议约定，视为违约；守约方有权要求违约方限期纠正，并赔偿守约方全部直接损失。</w:t>
      </w:r>
    </w:p>
    <w:p w14:paraId="79E8A7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（二）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逾期支付租金，每逾期一日，按欠付租金万分之三向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计收滞纳金。</w:t>
      </w:r>
    </w:p>
    <w:p w14:paraId="353399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（三）因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建设、运营、设备、排污造成第三方人身伤害、财产损失，全部由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承担；造成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损失或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先行赔付的，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有权全额追偿。</w:t>
      </w:r>
    </w:p>
    <w:p w14:paraId="00C489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2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第八条　其他约定</w:t>
      </w:r>
    </w:p>
    <w:p w14:paraId="0F1DA5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（一）保密义务：双方对本协议商务条款、对方商业资料承担保密义务，保密义务不因协议终止失效。</w:t>
      </w:r>
    </w:p>
    <w:p w14:paraId="00CBF3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</w:rPr>
        <w:t>（二）争议解决：本协议在履行过程中发生的争议，由双方协商解决；协商不成的，依法向常州市新北区人民法院起诉。</w:t>
      </w:r>
    </w:p>
    <w:p w14:paraId="5FA7E2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（三）未尽事宜，双方签订书面补充协议，补充协议、附件和本协议具备同等法律效力。</w:t>
      </w:r>
    </w:p>
    <w:p w14:paraId="6BE63B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（四）本合同一式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val="en-US" w:eastAsia="zh-CN"/>
        </w:rPr>
        <w:t>贰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份，经双方签字盖章后生效，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val="en-US" w:eastAsia="zh-CN"/>
        </w:rPr>
        <w:t>甲、乙双方各执壹份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，均具有同等法律效力。</w:t>
      </w:r>
    </w:p>
    <w:tbl>
      <w:tblPr>
        <w:tblStyle w:val="32"/>
        <w:tblpPr w:leftFromText="180" w:rightFromText="180" w:vertAnchor="text" w:horzAnchor="page" w:tblpXSpec="center" w:tblpY="745"/>
        <w:tblOverlap w:val="never"/>
        <w:tblW w:w="101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9"/>
        <w:gridCol w:w="4250"/>
      </w:tblGrid>
      <w:tr w14:paraId="5A7C6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737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甲方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 xml:space="preserve">（出租方）：常州产城智慧运营管理有限公司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 xml:space="preserve">    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33E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乙方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（承租方）</w:t>
            </w:r>
          </w:p>
        </w:tc>
      </w:tr>
      <w:tr w14:paraId="43950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EAF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经办人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：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84B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经办人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：</w:t>
            </w:r>
          </w:p>
        </w:tc>
      </w:tr>
      <w:tr w14:paraId="0EB33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3D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日期：　　年　　月　　日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828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日期：　　年　　月　　日</w:t>
            </w:r>
          </w:p>
        </w:tc>
      </w:tr>
    </w:tbl>
    <w:p w14:paraId="76E7CB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footerReference r:id="rId5" w:type="default"/>
      <w:pgSz w:w="11906" w:h="16838"/>
      <w:pgMar w:top="1417" w:right="1417" w:bottom="1417" w:left="1417" w:header="720" w:footer="85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879FD">
    <w:pPr>
      <w:pStyle w:val="24"/>
      <w:jc w:val="center"/>
    </w:pPr>
    <w:r>
      <w:rPr>
        <w:rFonts w:ascii="Times New Roman" w:hAnsi="Times New Roman" w:eastAsia="宋体"/>
        <w:b w:val="0"/>
        <w:sz w:val="18"/>
      </w:rPr>
      <w:t xml:space="preserve">第 </w:t>
    </w:r>
    <w:r>
      <w:rPr>
        <w:rFonts w:ascii="Times New Roman" w:hAnsi="Times New Roman" w:eastAsia="宋体"/>
        <w:b w:val="0"/>
        <w:sz w:val="18"/>
      </w:rPr>
      <w:fldChar w:fldCharType="begin"/>
    </w:r>
    <w:r>
      <w:rPr>
        <w:rFonts w:ascii="Times New Roman" w:hAnsi="Times New Roman" w:eastAsia="宋体"/>
        <w:b w:val="0"/>
        <w:sz w:val="18"/>
      </w:rPr>
      <w:instrText xml:space="preserve"> PAGE </w:instrText>
    </w:r>
    <w:r>
      <w:rPr>
        <w:rFonts w:ascii="Times New Roman" w:hAnsi="Times New Roman" w:eastAsia="宋体"/>
        <w:b w:val="0"/>
        <w:sz w:val="18"/>
      </w:rPr>
      <w:fldChar w:fldCharType="end"/>
    </w:r>
    <w:r>
      <w:rPr>
        <w:rFonts w:ascii="Times New Roman" w:hAnsi="Times New Roman" w:eastAsia="宋体"/>
        <w:b w:val="0"/>
        <w:sz w:val="18"/>
      </w:rPr>
      <w:t xml:space="preserve"> 页 共 </w:t>
    </w:r>
    <w:r>
      <w:rPr>
        <w:rFonts w:ascii="Times New Roman" w:hAnsi="Times New Roman" w:eastAsia="宋体"/>
        <w:b w:val="0"/>
        <w:sz w:val="18"/>
      </w:rPr>
      <w:fldChar w:fldCharType="begin"/>
    </w:r>
    <w:r>
      <w:rPr>
        <w:rFonts w:ascii="Times New Roman" w:hAnsi="Times New Roman" w:eastAsia="宋体"/>
        <w:b w:val="0"/>
        <w:sz w:val="18"/>
      </w:rPr>
      <w:instrText xml:space="preserve"> NUMPAGES </w:instrText>
    </w:r>
    <w:r>
      <w:rPr>
        <w:rFonts w:ascii="Times New Roman" w:hAnsi="Times New Roman" w:eastAsia="宋体"/>
        <w:b w:val="0"/>
        <w:sz w:val="18"/>
      </w:rPr>
      <w:fldChar w:fldCharType="end"/>
    </w:r>
    <w:r>
      <w:rPr>
        <w:rFonts w:ascii="Times New Roman" w:hAnsi="Times New Roman" w:eastAsia="宋体"/>
        <w:b w:val="0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94C3466"/>
    <w:rsid w:val="16D94332"/>
    <w:rsid w:val="1E664402"/>
    <w:rsid w:val="2357602F"/>
    <w:rsid w:val="25107C46"/>
    <w:rsid w:val="310A77DD"/>
    <w:rsid w:val="35AD3BF9"/>
    <w:rsid w:val="36763E02"/>
    <w:rsid w:val="3687595A"/>
    <w:rsid w:val="45F3331D"/>
    <w:rsid w:val="4D2D08B5"/>
    <w:rsid w:val="53FD1582"/>
    <w:rsid w:val="6FB25A91"/>
    <w:rsid w:val="79D02774"/>
    <w:rsid w:val="7BB778DD"/>
    <w:rsid w:val="7FC8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720</Words>
  <Characters>720</Characters>
  <Lines>0</Lines>
  <Paragraphs>0</Paragraphs>
  <TotalTime>2</TotalTime>
  <ScaleCrop>false</ScaleCrop>
  <LinksUpToDate>false</LinksUpToDate>
  <CharactersWithSpaces>786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小时候爱吃糖</cp:lastModifiedBy>
  <dcterms:modified xsi:type="dcterms:W3CDTF">2026-10-29T09:10:09Z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eyJoZGlkIjoiNzI1MzljODBiNDliMzEyMzFlZWNlN2EzYjU0N2YzMWEiLCJ1c2VySWQiOiIyMzkyNTMyNDkifQ==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0059B43F59874DAF8162A8162DF23212_12</vt:lpwstr>
  </property>
</Properties>
</file>