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CC911">
      <w:pPr>
        <w:spacing w:line="700" w:lineRule="exact"/>
        <w:jc w:val="center"/>
        <w:rPr>
          <w:rFonts w:ascii="Times New Roman" w:hAnsi="Times New Roman" w:eastAsia="方正小标宋简体" w:cs="仿宋_GB2312"/>
          <w:sz w:val="44"/>
          <w:szCs w:val="48"/>
        </w:rPr>
      </w:pPr>
    </w:p>
    <w:p w14:paraId="1451CFD0">
      <w:pPr>
        <w:spacing w:line="700" w:lineRule="exact"/>
        <w:jc w:val="center"/>
        <w:rPr>
          <w:rFonts w:ascii="Times New Roman" w:hAnsi="Times New Roman" w:eastAsia="方正小标宋简体"/>
          <w:sz w:val="44"/>
          <w:szCs w:val="48"/>
        </w:rPr>
      </w:pPr>
      <w:r>
        <w:rPr>
          <w:rFonts w:hint="eastAsia" w:ascii="Times New Roman" w:hAnsi="Times New Roman" w:eastAsia="方正小标宋简体" w:cs="仿宋_GB2312"/>
          <w:sz w:val="44"/>
          <w:szCs w:val="48"/>
        </w:rPr>
        <w:t>充电站</w:t>
      </w:r>
      <w:r>
        <w:rPr>
          <w:rFonts w:hint="eastAsia" w:ascii="Times New Roman" w:hAnsi="Times New Roman" w:eastAsia="方正小标宋简体"/>
          <w:sz w:val="44"/>
          <w:szCs w:val="48"/>
        </w:rPr>
        <w:t>合作</w:t>
      </w:r>
      <w:r>
        <w:rPr>
          <w:rFonts w:ascii="Times New Roman" w:hAnsi="Times New Roman" w:eastAsia="方正小标宋简体"/>
          <w:sz w:val="44"/>
          <w:szCs w:val="48"/>
        </w:rPr>
        <w:t>协议</w:t>
      </w:r>
    </w:p>
    <w:p w14:paraId="222EF545">
      <w:pPr>
        <w:adjustRightInd w:val="0"/>
        <w:snapToGrid w:val="0"/>
        <w:spacing w:line="570" w:lineRule="exact"/>
        <w:rPr>
          <w:rFonts w:ascii="仿宋_GB2312" w:eastAsia="仿宋_GB2312" w:cs="仿宋_GB2312"/>
          <w:b/>
          <w:sz w:val="32"/>
          <w:szCs w:val="32"/>
        </w:rPr>
      </w:pPr>
    </w:p>
    <w:p w14:paraId="19C634B5">
      <w:pPr>
        <w:adjustRightInd w:val="0"/>
        <w:snapToGrid w:val="0"/>
        <w:spacing w:line="570" w:lineRule="exact"/>
        <w:rPr>
          <w:rFonts w:ascii="仿宋_GB2312" w:eastAsia="仿宋_GB2312" w:cs="仿宋_GB2312"/>
          <w:sz w:val="32"/>
          <w:szCs w:val="32"/>
        </w:rPr>
      </w:pPr>
      <w:r>
        <w:rPr>
          <w:rFonts w:hint="eastAsia" w:ascii="仿宋_GB2312" w:eastAsia="仿宋_GB2312" w:cs="仿宋_GB2312"/>
          <w:b/>
          <w:sz w:val="32"/>
          <w:szCs w:val="32"/>
        </w:rPr>
        <w:t>甲方：</w:t>
      </w:r>
      <w:r>
        <w:rPr>
          <w:rFonts w:hint="eastAsia" w:ascii="仿宋_GB2312" w:eastAsia="仿宋_GB2312" w:cs="仿宋_GB2312"/>
          <w:sz w:val="32"/>
          <w:szCs w:val="32"/>
        </w:rPr>
        <w:t xml:space="preserve"> </w:t>
      </w:r>
    </w:p>
    <w:p w14:paraId="4BD4F63E">
      <w:pPr>
        <w:adjustRightInd w:val="0"/>
        <w:snapToGrid w:val="0"/>
        <w:spacing w:line="570" w:lineRule="exact"/>
        <w:rPr>
          <w:rFonts w:ascii="仿宋_GB2312" w:eastAsia="仿宋_GB2312" w:cs="仿宋_GB2312"/>
          <w:bCs/>
          <w:sz w:val="32"/>
          <w:szCs w:val="32"/>
        </w:rPr>
      </w:pPr>
      <w:r>
        <w:rPr>
          <w:rFonts w:hint="eastAsia" w:ascii="仿宋_GB2312" w:eastAsia="仿宋_GB2312" w:cs="仿宋_GB2312"/>
          <w:b/>
          <w:sz w:val="32"/>
          <w:szCs w:val="32"/>
        </w:rPr>
        <w:t>乙方：</w:t>
      </w:r>
    </w:p>
    <w:p w14:paraId="78D1BE05">
      <w:pPr>
        <w:spacing w:line="570" w:lineRule="exact"/>
        <w:ind w:firstLine="562"/>
        <w:rPr>
          <w:rFonts w:ascii="仿宋_GB2312" w:eastAsia="仿宋_GB2312" w:cs="仿宋_GB2312"/>
          <w:sz w:val="32"/>
          <w:szCs w:val="32"/>
        </w:rPr>
      </w:pPr>
    </w:p>
    <w:p w14:paraId="7C165ECC">
      <w:pPr>
        <w:spacing w:line="570" w:lineRule="exact"/>
        <w:ind w:firstLine="562"/>
        <w:rPr>
          <w:rFonts w:ascii="仿宋_GB2312" w:eastAsia="仿宋_GB2312" w:cs="仿宋_GB2312"/>
          <w:sz w:val="32"/>
          <w:szCs w:val="32"/>
        </w:rPr>
      </w:pPr>
      <w:r>
        <w:rPr>
          <w:rFonts w:ascii="仿宋_GB2312" w:eastAsia="仿宋_GB2312" w:cs="仿宋_GB2312"/>
          <w:sz w:val="32"/>
          <w:szCs w:val="32"/>
        </w:rPr>
        <w:t>为全面</w:t>
      </w:r>
      <w:r>
        <w:rPr>
          <w:rFonts w:hint="eastAsia" w:ascii="仿宋_GB2312" w:eastAsia="仿宋_GB2312" w:cs="仿宋_GB2312"/>
          <w:sz w:val="32"/>
          <w:szCs w:val="32"/>
        </w:rPr>
        <w:t>落实常州市“新能源产业高地、微电网示范应用城市”建设总体要求，积极助力常州市双碳建设，推动常州市“交能融合”高质量发展，提升常州市交通领域新能源充电站规模水平，根据《中华人民共和国民法典·合同编》及相关法律法规规定，本着平等自愿、诚实守信的原则，经友好协商，甲乙双方就常州市腾龙路与S340交叉路口地块合作建设充电站事宜达成共识，签署协议。</w:t>
      </w:r>
    </w:p>
    <w:p w14:paraId="063C12CD">
      <w:pPr>
        <w:spacing w:line="570" w:lineRule="exact"/>
        <w:ind w:firstLine="562"/>
        <w:rPr>
          <w:rFonts w:ascii="Times New Roman" w:hAnsi="Times New Roman" w:eastAsia="黑体"/>
          <w:sz w:val="32"/>
          <w:szCs w:val="32"/>
        </w:rPr>
      </w:pPr>
      <w:r>
        <w:rPr>
          <w:rFonts w:ascii="Times New Roman" w:hAnsi="Times New Roman" w:eastAsia="黑体"/>
          <w:bCs/>
          <w:sz w:val="32"/>
          <w:szCs w:val="32"/>
        </w:rPr>
        <w:t>第</w:t>
      </w:r>
      <w:r>
        <w:rPr>
          <w:rFonts w:hint="eastAsia" w:ascii="Times New Roman" w:hAnsi="Times New Roman" w:eastAsia="黑体"/>
          <w:bCs/>
          <w:sz w:val="32"/>
          <w:szCs w:val="32"/>
        </w:rPr>
        <w:t>一</w:t>
      </w:r>
      <w:r>
        <w:rPr>
          <w:rFonts w:ascii="Times New Roman" w:hAnsi="Times New Roman" w:eastAsia="黑体"/>
          <w:bCs/>
          <w:sz w:val="32"/>
          <w:szCs w:val="32"/>
        </w:rPr>
        <w:t>条</w:t>
      </w:r>
      <w:r>
        <w:rPr>
          <w:rFonts w:ascii="Times New Roman" w:hAnsi="Times New Roman" w:eastAsia="仿宋_GB2312"/>
          <w:b/>
          <w:sz w:val="32"/>
          <w:szCs w:val="32"/>
        </w:rPr>
        <w:t xml:space="preserve"> </w:t>
      </w:r>
      <w:r>
        <w:rPr>
          <w:rFonts w:ascii="Times New Roman" w:hAnsi="Times New Roman" w:eastAsia="黑体"/>
          <w:sz w:val="32"/>
          <w:szCs w:val="32"/>
        </w:rPr>
        <w:t>合作</w:t>
      </w:r>
      <w:r>
        <w:rPr>
          <w:rFonts w:hint="eastAsia" w:ascii="Times New Roman" w:hAnsi="Times New Roman" w:eastAsia="黑体"/>
          <w:sz w:val="32"/>
          <w:szCs w:val="32"/>
        </w:rPr>
        <w:t>内容</w:t>
      </w:r>
    </w:p>
    <w:p w14:paraId="7FD8A6C6">
      <w:pPr>
        <w:spacing w:line="570" w:lineRule="exact"/>
        <w:ind w:firstLine="640" w:firstLineChars="200"/>
      </w:pPr>
      <w:r>
        <w:rPr>
          <w:rFonts w:hint="eastAsia" w:ascii="仿宋_GB2312" w:eastAsia="仿宋_GB2312" w:cs="仿宋_GB2312"/>
          <w:sz w:val="32"/>
          <w:szCs w:val="32"/>
        </w:rPr>
        <w:t>1.甲方将</w:t>
      </w:r>
      <w:r>
        <w:rPr>
          <w:rFonts w:hint="eastAsia" w:ascii="仿宋_GB2312" w:eastAsia="仿宋_GB2312" w:cs="仿宋_GB2312"/>
          <w:sz w:val="32"/>
          <w:szCs w:val="32"/>
          <w:u w:val="single"/>
        </w:rPr>
        <w:t>腾龙路与S340交叉路口地块场地（场地面积1206平方米）</w:t>
      </w:r>
      <w:r>
        <w:rPr>
          <w:rFonts w:hint="eastAsia" w:ascii="仿宋_GB2312" w:eastAsia="仿宋_GB2312" w:cs="仿宋_GB2312"/>
          <w:sz w:val="32"/>
          <w:szCs w:val="32"/>
        </w:rPr>
        <w:t>，提供给乙方用于建设新能源充电站（场地红线范围详见附件）。</w:t>
      </w:r>
    </w:p>
    <w:p w14:paraId="224CFCD2">
      <w:pPr>
        <w:spacing w:line="57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2.合作期间，乙方负责充电站的建设及日常运营管理。</w:t>
      </w:r>
    </w:p>
    <w:p w14:paraId="1F91F24C">
      <w:pPr>
        <w:spacing w:line="57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 xml:space="preserve">第二条 </w:t>
      </w:r>
      <w:r>
        <w:rPr>
          <w:rFonts w:ascii="Times New Roman" w:hAnsi="Times New Roman" w:eastAsia="黑体"/>
          <w:sz w:val="32"/>
          <w:szCs w:val="32"/>
        </w:rPr>
        <w:t>合作</w:t>
      </w:r>
      <w:r>
        <w:rPr>
          <w:rFonts w:hint="eastAsia" w:ascii="Times New Roman" w:hAnsi="Times New Roman" w:eastAsia="黑体"/>
          <w:sz w:val="32"/>
          <w:szCs w:val="32"/>
        </w:rPr>
        <w:t>期限</w:t>
      </w:r>
    </w:p>
    <w:p w14:paraId="6F17C169">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合作期限十年，起始日为本项目相关新能源设施设备投入运营使用之日，以双方签署投运确认书为准。10年合作期满，双方无异议则按合同继续执行。</w:t>
      </w:r>
    </w:p>
    <w:p w14:paraId="0B6A6D6E">
      <w:pPr>
        <w:spacing w:line="570" w:lineRule="exact"/>
        <w:ind w:firstLine="562"/>
        <w:rPr>
          <w:rFonts w:ascii="Times New Roman" w:hAnsi="Times New Roman" w:eastAsia="仿宋_GB2312"/>
          <w:spacing w:val="-5"/>
          <w:sz w:val="32"/>
          <w:szCs w:val="32"/>
        </w:rPr>
      </w:pPr>
      <w:r>
        <w:rPr>
          <w:rFonts w:ascii="Times New Roman" w:hAnsi="Times New Roman" w:eastAsia="黑体"/>
          <w:bCs/>
          <w:sz w:val="32"/>
          <w:szCs w:val="32"/>
        </w:rPr>
        <w:t>第</w:t>
      </w:r>
      <w:r>
        <w:rPr>
          <w:rFonts w:hint="eastAsia" w:ascii="Times New Roman" w:hAnsi="Times New Roman" w:eastAsia="黑体"/>
          <w:bCs/>
          <w:sz w:val="32"/>
          <w:szCs w:val="32"/>
        </w:rPr>
        <w:t>三</w:t>
      </w:r>
      <w:r>
        <w:rPr>
          <w:rFonts w:ascii="Times New Roman" w:hAnsi="Times New Roman" w:eastAsia="黑体"/>
          <w:bCs/>
          <w:sz w:val="32"/>
          <w:szCs w:val="32"/>
        </w:rPr>
        <w:t xml:space="preserve">条 </w:t>
      </w:r>
      <w:r>
        <w:rPr>
          <w:rFonts w:hint="eastAsia" w:ascii="Times New Roman" w:hAnsi="Times New Roman" w:eastAsia="黑体"/>
          <w:bCs/>
          <w:sz w:val="32"/>
          <w:szCs w:val="32"/>
        </w:rPr>
        <w:t>合作结算</w:t>
      </w:r>
    </w:p>
    <w:p w14:paraId="69647EDD">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1.项目建成后，乙方负责充电站的日常运营及维护，甲方向乙方收取场地租赁费。</w:t>
      </w:r>
    </w:p>
    <w:p w14:paraId="0088DF44">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2.甲方收取租赁费用标准为：</w:t>
      </w:r>
    </w:p>
    <w:p w14:paraId="2EE6DD73">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（1）单价：</w:t>
      </w:r>
      <w:r>
        <w:rPr>
          <w:rFonts w:ascii="仿宋_GB2312" w:eastAsia="仿宋_GB2312" w:cs="仿宋_GB2312"/>
          <w:sz w:val="32"/>
          <w:szCs w:val="32"/>
        </w:rPr>
        <w:t>10.50 元 /</w:t>
      </w:r>
      <w:r>
        <w:rPr>
          <w:rFonts w:hint="eastAsia" w:ascii="微软雅黑" w:hAnsi="微软雅黑" w:eastAsia="微软雅黑" w:cs="微软雅黑"/>
          <w:sz w:val="32"/>
          <w:szCs w:val="32"/>
        </w:rPr>
        <w:t>㎡</w:t>
      </w:r>
      <w:r>
        <w:rPr>
          <w:rFonts w:ascii="仿宋_GB2312" w:eastAsia="仿宋_GB2312" w:cs="仿宋_GB2312"/>
          <w:sz w:val="32"/>
          <w:szCs w:val="32"/>
        </w:rPr>
        <w:t>/ 年</w:t>
      </w:r>
      <w:r>
        <w:rPr>
          <w:rFonts w:hint="eastAsia" w:ascii="仿宋_GB2312" w:eastAsia="仿宋_GB2312" w:cs="仿宋_GB2312"/>
          <w:sz w:val="32"/>
          <w:szCs w:val="32"/>
        </w:rPr>
        <w:t>（含税），按1206平方米核准，整个场地年租金总价12663元/年（含税）。</w:t>
      </w:r>
    </w:p>
    <w:p w14:paraId="00B59D8A">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（2）乙方充电站年营业收入净利润的10%。</w:t>
      </w:r>
    </w:p>
    <w:p w14:paraId="38D914A8">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净利润=充电场站收入-电费-乙方租赁</w:t>
      </w:r>
      <w:r>
        <w:rPr>
          <w:rFonts w:ascii="仿宋_GB2312" w:eastAsia="仿宋_GB2312" w:cs="仿宋_GB2312"/>
          <w:sz w:val="32"/>
          <w:szCs w:val="32"/>
        </w:rPr>
        <w:t>林场村委</w:t>
      </w:r>
      <w:r>
        <w:rPr>
          <w:rFonts w:hint="eastAsia" w:ascii="仿宋_GB2312" w:eastAsia="仿宋_GB2312" w:cs="仿宋_GB2312"/>
          <w:sz w:val="32"/>
          <w:szCs w:val="32"/>
        </w:rPr>
        <w:t>产地租金，具体计算方式以甲乙双方确认为准。</w:t>
      </w:r>
    </w:p>
    <w:p w14:paraId="4F6FC2F1">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3.年租金最终收取以上述（1）（2）两项中高者为准。</w:t>
      </w:r>
    </w:p>
    <w:p w14:paraId="07DB52F7">
      <w:pPr>
        <w:spacing w:line="570" w:lineRule="exact"/>
        <w:ind w:firstLine="562"/>
        <w:rPr>
          <w:rFonts w:ascii="仿宋_GB2312" w:eastAsia="仿宋_GB2312" w:cs="仿宋_GB2312"/>
          <w:sz w:val="32"/>
          <w:szCs w:val="32"/>
        </w:rPr>
      </w:pPr>
      <w:r>
        <w:rPr>
          <w:rFonts w:hint="eastAsia" w:ascii="仿宋_GB2312" w:eastAsia="仿宋_GB2312" w:cs="仿宋_GB2312"/>
          <w:sz w:val="32"/>
          <w:szCs w:val="32"/>
        </w:rPr>
        <w:t>4.甲乙双方每年结算一次。每年2月核对并结算上一年度租金。乙方提供上一年度充电收入及相应支出成本，形成年度结算单报甲方确认。甲乙双方确认无误后，甲方向乙方开具相应金额的增值税专用发票（税率9%，税目:场地租赁，如遇国家税务部门调整税率，则相应进行调整），乙方收到发票后10个工作日内付款至甲方。</w:t>
      </w:r>
    </w:p>
    <w:p w14:paraId="56467FF4">
      <w:pPr>
        <w:spacing w:line="570" w:lineRule="exact"/>
        <w:ind w:firstLine="562"/>
        <w:rPr>
          <w:rFonts w:ascii="Times New Roman" w:hAnsi="Times New Roman" w:eastAsia="仿宋_GB2312"/>
          <w:spacing w:val="-5"/>
          <w:sz w:val="32"/>
          <w:szCs w:val="32"/>
        </w:rPr>
      </w:pPr>
      <w:r>
        <w:rPr>
          <w:rFonts w:ascii="Times New Roman" w:hAnsi="Times New Roman" w:eastAsia="黑体"/>
          <w:bCs/>
          <w:sz w:val="32"/>
          <w:szCs w:val="32"/>
        </w:rPr>
        <w:t>第</w:t>
      </w:r>
      <w:r>
        <w:rPr>
          <w:rFonts w:hint="eastAsia" w:ascii="Times New Roman" w:hAnsi="Times New Roman" w:eastAsia="黑体"/>
          <w:bCs/>
          <w:sz w:val="32"/>
          <w:szCs w:val="32"/>
        </w:rPr>
        <w:t>四</w:t>
      </w:r>
      <w:r>
        <w:rPr>
          <w:rFonts w:ascii="Times New Roman" w:hAnsi="Times New Roman" w:eastAsia="黑体"/>
          <w:bCs/>
          <w:sz w:val="32"/>
          <w:szCs w:val="32"/>
        </w:rPr>
        <w:t>条 权利</w:t>
      </w:r>
      <w:r>
        <w:rPr>
          <w:rFonts w:hint="eastAsia" w:ascii="Times New Roman" w:hAnsi="Times New Roman" w:eastAsia="黑体"/>
          <w:bCs/>
          <w:sz w:val="32"/>
          <w:szCs w:val="32"/>
        </w:rPr>
        <w:t>与</w:t>
      </w:r>
      <w:r>
        <w:rPr>
          <w:rFonts w:ascii="Times New Roman" w:hAnsi="Times New Roman" w:eastAsia="黑体"/>
          <w:bCs/>
          <w:sz w:val="32"/>
          <w:szCs w:val="32"/>
        </w:rPr>
        <w:t>义务</w:t>
      </w:r>
    </w:p>
    <w:p w14:paraId="6C14E705">
      <w:pPr>
        <w:spacing w:line="570" w:lineRule="exact"/>
        <w:ind w:firstLine="321" w:firstLineChars="100"/>
        <w:rPr>
          <w:rFonts w:ascii="Times New Roman" w:hAnsi="Times New Roman" w:eastAsia="楷体_GB2312"/>
          <w:b/>
          <w:bCs/>
          <w:sz w:val="32"/>
          <w:szCs w:val="32"/>
        </w:rPr>
      </w:pPr>
      <w:r>
        <w:rPr>
          <w:rFonts w:ascii="Times New Roman" w:hAnsi="Times New Roman" w:eastAsia="楷体_GB2312"/>
          <w:b/>
          <w:bCs/>
          <w:sz w:val="32"/>
          <w:szCs w:val="32"/>
        </w:rPr>
        <w:t>（一）甲方权利</w:t>
      </w:r>
      <w:r>
        <w:rPr>
          <w:rFonts w:hint="eastAsia" w:ascii="Times New Roman" w:hAnsi="Times New Roman" w:eastAsia="楷体_GB2312"/>
          <w:b/>
          <w:bCs/>
          <w:sz w:val="32"/>
          <w:szCs w:val="32"/>
        </w:rPr>
        <w:t>与</w:t>
      </w:r>
      <w:r>
        <w:rPr>
          <w:rFonts w:ascii="Times New Roman" w:hAnsi="Times New Roman" w:eastAsia="楷体_GB2312"/>
          <w:b/>
          <w:bCs/>
          <w:sz w:val="32"/>
          <w:szCs w:val="32"/>
        </w:rPr>
        <w:t>义务</w:t>
      </w:r>
    </w:p>
    <w:p w14:paraId="0374026B">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rPr>
        <w:t xml:space="preserve"> </w:t>
      </w:r>
      <w:r>
        <w:rPr>
          <w:rFonts w:hint="eastAsia" w:ascii="Times New Roman" w:hAnsi="Times New Roman" w:eastAsia="仿宋_GB2312"/>
          <w:sz w:val="32"/>
          <w:szCs w:val="32"/>
        </w:rPr>
        <w:t xml:space="preserve">在合作期限内，甲方保证对该场地享有合法所有权或处分权，并承诺未在该场地上为任何第三方设立抵押权、租赁权等可能妨碍乙方使用的权利。 </w:t>
      </w:r>
    </w:p>
    <w:p w14:paraId="751CC9DB">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hint="eastAsia"/>
        </w:rPr>
        <w:t xml:space="preserve"> </w:t>
      </w:r>
      <w:r>
        <w:rPr>
          <w:rFonts w:hint="eastAsia" w:ascii="Times New Roman" w:hAnsi="Times New Roman" w:eastAsia="仿宋_GB2312"/>
          <w:sz w:val="32"/>
          <w:szCs w:val="32"/>
        </w:rPr>
        <w:t>在合作期限内，如因政府规划、政策调整或甲方场地用途调整等不可抗力因素导致减少充电车位数量或终止合同的，甲方应提前2个月告知乙方，并有权单方面终止本协议，且不承担任何违约赔偿责任。甲方协助乙方向政府等部门争取因政府规划、政策调整造成乙方拆迁迁移的损失费用。</w:t>
      </w:r>
    </w:p>
    <w:p w14:paraId="4EABE4DE">
      <w:pPr>
        <w:spacing w:line="560" w:lineRule="exact"/>
        <w:ind w:firstLine="640" w:firstLineChars="200"/>
      </w:pPr>
      <w:r>
        <w:rPr>
          <w:rFonts w:hint="eastAsia" w:ascii="Times New Roman" w:hAnsi="Times New Roman" w:eastAsia="仿宋_GB2312"/>
          <w:sz w:val="32"/>
          <w:szCs w:val="32"/>
        </w:rPr>
        <w:t>3.协助乙方</w:t>
      </w:r>
      <w:r>
        <w:rPr>
          <w:rStyle w:val="20"/>
          <w:rFonts w:hint="eastAsia" w:ascii="Times New Roman" w:hAnsi="Times New Roman" w:eastAsia="仿宋_GB2312"/>
          <w:sz w:val="32"/>
          <w:szCs w:val="32"/>
        </w:rPr>
        <w:t>办理停车及充换电</w:t>
      </w:r>
      <w:r>
        <w:rPr>
          <w:rFonts w:hint="eastAsia" w:ascii="Times New Roman" w:hAnsi="Times New Roman" w:eastAsia="仿宋_GB2312"/>
          <w:sz w:val="32"/>
          <w:szCs w:val="32"/>
        </w:rPr>
        <w:t>收费备案，配合提供所需材料。</w:t>
      </w:r>
    </w:p>
    <w:p w14:paraId="4DAC36B2">
      <w:pPr>
        <w:spacing w:line="570" w:lineRule="exact"/>
        <w:ind w:firstLine="321" w:firstLineChars="100"/>
        <w:rPr>
          <w:rFonts w:ascii="Times New Roman" w:hAnsi="Times New Roman" w:eastAsia="楷体_GB2312"/>
          <w:b/>
          <w:bCs/>
          <w:sz w:val="32"/>
          <w:szCs w:val="32"/>
        </w:rPr>
      </w:pPr>
      <w:r>
        <w:rPr>
          <w:rFonts w:ascii="Times New Roman" w:hAnsi="Times New Roman" w:eastAsia="楷体_GB2312"/>
          <w:b/>
          <w:bCs/>
          <w:sz w:val="32"/>
          <w:szCs w:val="32"/>
        </w:rPr>
        <w:t>（二）乙方权利</w:t>
      </w:r>
      <w:r>
        <w:rPr>
          <w:rFonts w:hint="eastAsia" w:ascii="Times New Roman" w:hAnsi="Times New Roman" w:eastAsia="楷体_GB2312"/>
          <w:b/>
          <w:bCs/>
          <w:sz w:val="32"/>
          <w:szCs w:val="32"/>
        </w:rPr>
        <w:t>与</w:t>
      </w:r>
      <w:r>
        <w:rPr>
          <w:rFonts w:ascii="Times New Roman" w:hAnsi="Times New Roman" w:eastAsia="楷体_GB2312"/>
          <w:b/>
          <w:bCs/>
          <w:sz w:val="32"/>
          <w:szCs w:val="32"/>
        </w:rPr>
        <w:t>义务</w:t>
      </w:r>
    </w:p>
    <w:p w14:paraId="537EF54A">
      <w:pPr>
        <w:spacing w:line="570" w:lineRule="exact"/>
        <w:ind w:firstLine="560"/>
      </w:pPr>
      <w:r>
        <w:rPr>
          <w:rFonts w:hint="eastAsia" w:ascii="仿宋_GB2312" w:eastAsia="仿宋_GB2312" w:cs="仿宋_GB2312"/>
          <w:sz w:val="32"/>
          <w:szCs w:val="32"/>
        </w:rPr>
        <w:t>1.乙方按标准规范建设充电站，提供的新能源设施质量符合国家标准，确保质量合格，通过验收后运营。</w:t>
      </w:r>
    </w:p>
    <w:p w14:paraId="7E47B098">
      <w:pPr>
        <w:spacing w:line="570" w:lineRule="exact"/>
        <w:ind w:firstLine="560"/>
        <w:rPr>
          <w:rFonts w:ascii="仿宋_GB2312" w:eastAsia="仿宋_GB2312" w:cs="仿宋_GB2312"/>
          <w:sz w:val="32"/>
          <w:szCs w:val="32"/>
        </w:rPr>
      </w:pPr>
      <w:r>
        <w:rPr>
          <w:rFonts w:hint="eastAsia" w:ascii="仿宋_GB2312" w:eastAsia="仿宋_GB2312" w:cs="仿宋_GB2312"/>
          <w:sz w:val="32"/>
          <w:szCs w:val="32"/>
        </w:rPr>
        <w:t>2.乙方负责提供新能源设备设施和基础工程的实施与维护，负责对新能源设施进行日常的维护以及对新能源设施发生的故障进行维修。</w:t>
      </w:r>
    </w:p>
    <w:p w14:paraId="31692157">
      <w:pPr>
        <w:spacing w:line="570" w:lineRule="exact"/>
        <w:ind w:firstLine="560"/>
      </w:pPr>
      <w:r>
        <w:rPr>
          <w:rFonts w:hint="eastAsia" w:ascii="仿宋_GB2312" w:eastAsia="仿宋_GB2312" w:cs="仿宋_GB2312"/>
          <w:sz w:val="32"/>
          <w:szCs w:val="32"/>
        </w:rPr>
        <w:t>3.乙方负责看管、保护新能源设施，维持充电桩可全天候使用。若乙方发现充电桩存在故障，应立即暂停使用，并负责维修。</w:t>
      </w:r>
    </w:p>
    <w:p w14:paraId="5D1E3D2C">
      <w:pPr>
        <w:spacing w:line="570" w:lineRule="exact"/>
        <w:ind w:firstLine="560"/>
        <w:rPr>
          <w:rFonts w:ascii="仿宋_GB2312" w:eastAsia="仿宋_GB2312" w:cs="仿宋_GB2312"/>
          <w:sz w:val="32"/>
          <w:szCs w:val="32"/>
        </w:rPr>
      </w:pPr>
      <w:r>
        <w:rPr>
          <w:rFonts w:hint="eastAsia" w:ascii="仿宋_GB2312" w:eastAsia="仿宋_GB2312" w:cs="仿宋_GB2312"/>
          <w:sz w:val="32"/>
          <w:szCs w:val="32"/>
        </w:rPr>
        <w:t>4.乙方应积极做好结算工作，保障甲方费用结算的及时性，并定期向甲方通报运营情况，配合甲方监督。</w:t>
      </w:r>
    </w:p>
    <w:p w14:paraId="5D7CD80E">
      <w:pPr>
        <w:spacing w:line="570" w:lineRule="exact"/>
        <w:ind w:firstLine="560"/>
        <w:rPr>
          <w:rFonts w:ascii="Times New Roman" w:hAnsi="Times New Roman" w:eastAsia="黑体"/>
          <w:sz w:val="32"/>
          <w:szCs w:val="32"/>
        </w:rPr>
      </w:pPr>
      <w:r>
        <w:rPr>
          <w:rFonts w:ascii="Times New Roman" w:hAnsi="Times New Roman" w:eastAsia="黑体"/>
          <w:sz w:val="32"/>
          <w:szCs w:val="32"/>
        </w:rPr>
        <w:t>第</w:t>
      </w:r>
      <w:r>
        <w:rPr>
          <w:rFonts w:hint="eastAsia" w:ascii="Times New Roman" w:hAnsi="Times New Roman" w:eastAsia="黑体"/>
          <w:sz w:val="32"/>
          <w:szCs w:val="32"/>
        </w:rPr>
        <w:t>五</w:t>
      </w:r>
      <w:r>
        <w:rPr>
          <w:rFonts w:ascii="Times New Roman" w:hAnsi="Times New Roman" w:eastAsia="黑体"/>
          <w:sz w:val="32"/>
          <w:szCs w:val="32"/>
        </w:rPr>
        <w:t>条</w:t>
      </w:r>
      <w:r>
        <w:rPr>
          <w:rFonts w:ascii="Times New Roman" w:hAnsi="Times New Roman" w:eastAsia="仿宋_GB2312"/>
          <w:b/>
          <w:bCs/>
          <w:sz w:val="32"/>
          <w:szCs w:val="32"/>
        </w:rPr>
        <w:t xml:space="preserve"> </w:t>
      </w:r>
      <w:r>
        <w:rPr>
          <w:rFonts w:hint="eastAsia" w:ascii="Times New Roman" w:hAnsi="Times New Roman" w:eastAsia="黑体"/>
          <w:sz w:val="32"/>
          <w:szCs w:val="32"/>
        </w:rPr>
        <w:t>开票信息</w:t>
      </w:r>
    </w:p>
    <w:p w14:paraId="40B9675B">
      <w:pPr>
        <w:adjustRightInd w:val="0"/>
        <w:snapToGrid w:val="0"/>
        <w:spacing w:line="570" w:lineRule="exact"/>
        <w:rPr>
          <w:rFonts w:ascii="仿宋_GB2312" w:eastAsia="仿宋_GB2312" w:cs="仿宋_GB2312"/>
          <w:sz w:val="32"/>
          <w:szCs w:val="32"/>
        </w:rPr>
      </w:pPr>
      <w:r>
        <w:rPr>
          <w:rFonts w:hint="eastAsia" w:ascii="仿宋_GB2312" w:eastAsia="仿宋_GB2312" w:cs="仿宋_GB2312"/>
          <w:sz w:val="32"/>
          <w:szCs w:val="32"/>
        </w:rPr>
        <w:t>甲方开票信息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6596"/>
      </w:tblGrid>
      <w:tr w14:paraId="23E5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044F4C46">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开户名称</w:t>
            </w:r>
          </w:p>
        </w:tc>
        <w:tc>
          <w:tcPr>
            <w:tcW w:w="6596" w:type="dxa"/>
            <w:tcBorders>
              <w:tl2br w:val="nil"/>
              <w:tr2bl w:val="nil"/>
            </w:tcBorders>
          </w:tcPr>
          <w:p w14:paraId="1B6F47D3">
            <w:pPr>
              <w:adjustRightInd w:val="0"/>
              <w:snapToGrid w:val="0"/>
              <w:spacing w:line="570" w:lineRule="exact"/>
              <w:rPr>
                <w:rFonts w:ascii="仿宋_GB2312" w:eastAsia="仿宋_GB2312" w:cs="仿宋_GB2312"/>
                <w:sz w:val="32"/>
                <w:szCs w:val="32"/>
              </w:rPr>
            </w:pPr>
          </w:p>
        </w:tc>
      </w:tr>
      <w:tr w14:paraId="7196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1DA9A38A">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税号</w:t>
            </w:r>
          </w:p>
        </w:tc>
        <w:tc>
          <w:tcPr>
            <w:tcW w:w="6596" w:type="dxa"/>
            <w:tcBorders>
              <w:tl2br w:val="nil"/>
              <w:tr2bl w:val="nil"/>
            </w:tcBorders>
          </w:tcPr>
          <w:p w14:paraId="78E98D03">
            <w:pPr>
              <w:adjustRightInd w:val="0"/>
              <w:snapToGrid w:val="0"/>
              <w:spacing w:line="570" w:lineRule="exact"/>
              <w:rPr>
                <w:rFonts w:ascii="仿宋_GB2312" w:eastAsia="仿宋_GB2312" w:cs="仿宋_GB2312"/>
                <w:sz w:val="32"/>
                <w:szCs w:val="32"/>
              </w:rPr>
            </w:pPr>
          </w:p>
        </w:tc>
      </w:tr>
      <w:tr w14:paraId="4612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5A3D7B07">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开户行</w:t>
            </w:r>
          </w:p>
        </w:tc>
        <w:tc>
          <w:tcPr>
            <w:tcW w:w="6596" w:type="dxa"/>
            <w:tcBorders>
              <w:tl2br w:val="nil"/>
              <w:tr2bl w:val="nil"/>
            </w:tcBorders>
          </w:tcPr>
          <w:p w14:paraId="7D3667A9">
            <w:pPr>
              <w:adjustRightInd w:val="0"/>
              <w:snapToGrid w:val="0"/>
              <w:spacing w:line="570" w:lineRule="exact"/>
              <w:rPr>
                <w:rFonts w:ascii="仿宋_GB2312" w:eastAsia="仿宋_GB2312" w:cs="仿宋_GB2312"/>
                <w:sz w:val="32"/>
                <w:szCs w:val="32"/>
              </w:rPr>
            </w:pPr>
          </w:p>
        </w:tc>
      </w:tr>
      <w:tr w14:paraId="44D3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0767A12A">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账号</w:t>
            </w:r>
          </w:p>
        </w:tc>
        <w:tc>
          <w:tcPr>
            <w:tcW w:w="6596" w:type="dxa"/>
            <w:tcBorders>
              <w:tl2br w:val="nil"/>
              <w:tr2bl w:val="nil"/>
            </w:tcBorders>
          </w:tcPr>
          <w:p w14:paraId="2116B65B">
            <w:pPr>
              <w:adjustRightInd w:val="0"/>
              <w:snapToGrid w:val="0"/>
              <w:spacing w:line="570" w:lineRule="exact"/>
              <w:rPr>
                <w:rFonts w:ascii="仿宋_GB2312" w:eastAsia="仿宋_GB2312" w:cs="仿宋_GB2312"/>
                <w:sz w:val="32"/>
                <w:szCs w:val="32"/>
              </w:rPr>
            </w:pPr>
          </w:p>
        </w:tc>
      </w:tr>
      <w:tr w14:paraId="550D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903" w:type="dxa"/>
            <w:tcBorders>
              <w:tl2br w:val="nil"/>
              <w:tr2bl w:val="nil"/>
            </w:tcBorders>
          </w:tcPr>
          <w:p w14:paraId="7B81DF9A">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地址</w:t>
            </w:r>
          </w:p>
        </w:tc>
        <w:tc>
          <w:tcPr>
            <w:tcW w:w="6596" w:type="dxa"/>
            <w:tcBorders>
              <w:tl2br w:val="nil"/>
              <w:tr2bl w:val="nil"/>
            </w:tcBorders>
          </w:tcPr>
          <w:p w14:paraId="56566DFD">
            <w:pPr>
              <w:adjustRightInd w:val="0"/>
              <w:snapToGrid w:val="0"/>
              <w:spacing w:line="570" w:lineRule="exact"/>
              <w:rPr>
                <w:rFonts w:ascii="仿宋_GB2312" w:eastAsia="仿宋_GB2312" w:cs="仿宋_GB2312"/>
                <w:sz w:val="32"/>
                <w:szCs w:val="32"/>
              </w:rPr>
            </w:pPr>
          </w:p>
        </w:tc>
      </w:tr>
    </w:tbl>
    <w:p w14:paraId="33E41562">
      <w:pPr>
        <w:adjustRightInd w:val="0"/>
        <w:snapToGrid w:val="0"/>
        <w:spacing w:line="57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乙方开票信息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6596"/>
      </w:tblGrid>
      <w:tr w14:paraId="5E4A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6B00F35E">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开户名称</w:t>
            </w:r>
          </w:p>
        </w:tc>
        <w:tc>
          <w:tcPr>
            <w:tcW w:w="6596" w:type="dxa"/>
            <w:tcBorders>
              <w:tl2br w:val="nil"/>
              <w:tr2bl w:val="nil"/>
            </w:tcBorders>
          </w:tcPr>
          <w:p w14:paraId="2A45626C">
            <w:pPr>
              <w:adjustRightInd w:val="0"/>
              <w:snapToGrid w:val="0"/>
              <w:spacing w:line="570" w:lineRule="exact"/>
              <w:jc w:val="left"/>
              <w:rPr>
                <w:rFonts w:ascii="仿宋_GB2312" w:eastAsia="仿宋_GB2312" w:cs="仿宋_GB2312"/>
                <w:sz w:val="32"/>
                <w:szCs w:val="32"/>
              </w:rPr>
            </w:pPr>
          </w:p>
        </w:tc>
      </w:tr>
      <w:tr w14:paraId="4519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2031AB87">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税号</w:t>
            </w:r>
          </w:p>
        </w:tc>
        <w:tc>
          <w:tcPr>
            <w:tcW w:w="6596" w:type="dxa"/>
            <w:tcBorders>
              <w:tl2br w:val="nil"/>
              <w:tr2bl w:val="nil"/>
            </w:tcBorders>
          </w:tcPr>
          <w:p w14:paraId="6566E42B">
            <w:pPr>
              <w:adjustRightInd w:val="0"/>
              <w:snapToGrid w:val="0"/>
              <w:spacing w:line="570" w:lineRule="exact"/>
              <w:rPr>
                <w:rFonts w:ascii="仿宋_GB2312" w:eastAsia="仿宋_GB2312" w:cs="仿宋_GB2312"/>
                <w:sz w:val="32"/>
                <w:szCs w:val="32"/>
              </w:rPr>
            </w:pPr>
          </w:p>
        </w:tc>
      </w:tr>
      <w:tr w14:paraId="147D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7E468867">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开户行</w:t>
            </w:r>
          </w:p>
        </w:tc>
        <w:tc>
          <w:tcPr>
            <w:tcW w:w="6596" w:type="dxa"/>
            <w:tcBorders>
              <w:tl2br w:val="nil"/>
              <w:tr2bl w:val="nil"/>
            </w:tcBorders>
          </w:tcPr>
          <w:p w14:paraId="2580A258">
            <w:pPr>
              <w:adjustRightInd w:val="0"/>
              <w:snapToGrid w:val="0"/>
              <w:spacing w:line="570" w:lineRule="exact"/>
              <w:rPr>
                <w:rFonts w:ascii="仿宋_GB2312" w:eastAsia="仿宋_GB2312" w:cs="仿宋_GB2312"/>
                <w:sz w:val="32"/>
                <w:szCs w:val="32"/>
              </w:rPr>
            </w:pPr>
          </w:p>
        </w:tc>
      </w:tr>
      <w:tr w14:paraId="1F6E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03" w:type="dxa"/>
            <w:tcBorders>
              <w:tl2br w:val="nil"/>
              <w:tr2bl w:val="nil"/>
            </w:tcBorders>
          </w:tcPr>
          <w:p w14:paraId="5377B655">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账号</w:t>
            </w:r>
          </w:p>
        </w:tc>
        <w:tc>
          <w:tcPr>
            <w:tcW w:w="6596" w:type="dxa"/>
            <w:tcBorders>
              <w:tl2br w:val="nil"/>
              <w:tr2bl w:val="nil"/>
            </w:tcBorders>
          </w:tcPr>
          <w:p w14:paraId="2A28365A">
            <w:pPr>
              <w:adjustRightInd w:val="0"/>
              <w:snapToGrid w:val="0"/>
              <w:spacing w:line="570" w:lineRule="exact"/>
              <w:rPr>
                <w:rFonts w:ascii="仿宋_GB2312" w:eastAsia="仿宋_GB2312" w:cs="仿宋_GB2312"/>
                <w:sz w:val="32"/>
                <w:szCs w:val="32"/>
              </w:rPr>
            </w:pPr>
          </w:p>
        </w:tc>
      </w:tr>
      <w:tr w14:paraId="609A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903" w:type="dxa"/>
            <w:tcBorders>
              <w:tl2br w:val="nil"/>
              <w:tr2bl w:val="nil"/>
            </w:tcBorders>
          </w:tcPr>
          <w:p w14:paraId="78F267E0">
            <w:pPr>
              <w:adjustRightInd w:val="0"/>
              <w:snapToGrid w:val="0"/>
              <w:spacing w:line="570" w:lineRule="exact"/>
              <w:jc w:val="center"/>
              <w:rPr>
                <w:rFonts w:ascii="仿宋_GB2312" w:eastAsia="仿宋_GB2312" w:cs="仿宋_GB2312"/>
                <w:sz w:val="32"/>
                <w:szCs w:val="32"/>
              </w:rPr>
            </w:pPr>
            <w:r>
              <w:rPr>
                <w:rFonts w:hint="eastAsia" w:ascii="仿宋_GB2312" w:eastAsia="仿宋_GB2312" w:cs="仿宋_GB2312"/>
                <w:sz w:val="32"/>
                <w:szCs w:val="32"/>
              </w:rPr>
              <w:t>地址</w:t>
            </w:r>
          </w:p>
        </w:tc>
        <w:tc>
          <w:tcPr>
            <w:tcW w:w="6596" w:type="dxa"/>
            <w:tcBorders>
              <w:tl2br w:val="nil"/>
              <w:tr2bl w:val="nil"/>
            </w:tcBorders>
          </w:tcPr>
          <w:p w14:paraId="543F24AB">
            <w:pPr>
              <w:adjustRightInd w:val="0"/>
              <w:snapToGrid w:val="0"/>
              <w:spacing w:line="570" w:lineRule="exact"/>
              <w:rPr>
                <w:rFonts w:ascii="仿宋_GB2312" w:eastAsia="仿宋_GB2312" w:cs="仿宋_GB2312"/>
                <w:sz w:val="32"/>
                <w:szCs w:val="32"/>
              </w:rPr>
            </w:pPr>
          </w:p>
        </w:tc>
      </w:tr>
    </w:tbl>
    <w:p w14:paraId="6F55A29E">
      <w:pPr>
        <w:spacing w:line="570" w:lineRule="exact"/>
        <w:ind w:firstLine="560"/>
        <w:rPr>
          <w:rFonts w:ascii="Times New Roman" w:hAnsi="Times New Roman" w:eastAsia="仿宋_GB2312"/>
          <w:spacing w:val="-5"/>
          <w:sz w:val="32"/>
          <w:szCs w:val="32"/>
        </w:rPr>
      </w:pPr>
      <w:r>
        <w:rPr>
          <w:rFonts w:ascii="Times New Roman" w:hAnsi="Times New Roman" w:eastAsia="黑体"/>
          <w:sz w:val="32"/>
          <w:szCs w:val="32"/>
        </w:rPr>
        <w:t>第</w:t>
      </w:r>
      <w:r>
        <w:rPr>
          <w:rFonts w:hint="eastAsia" w:ascii="Times New Roman" w:hAnsi="Times New Roman" w:eastAsia="黑体"/>
          <w:sz w:val="32"/>
          <w:szCs w:val="32"/>
        </w:rPr>
        <w:t>六</w:t>
      </w:r>
      <w:r>
        <w:rPr>
          <w:rFonts w:ascii="Times New Roman" w:hAnsi="Times New Roman" w:eastAsia="黑体"/>
          <w:sz w:val="32"/>
          <w:szCs w:val="32"/>
        </w:rPr>
        <w:t>条</w:t>
      </w:r>
      <w:r>
        <w:rPr>
          <w:rFonts w:ascii="Times New Roman" w:hAnsi="Times New Roman" w:eastAsia="仿宋_GB2312"/>
          <w:b/>
          <w:bCs/>
          <w:sz w:val="32"/>
          <w:szCs w:val="32"/>
        </w:rPr>
        <w:t xml:space="preserve"> </w:t>
      </w:r>
      <w:r>
        <w:rPr>
          <w:rFonts w:ascii="Times New Roman" w:hAnsi="Times New Roman" w:eastAsia="黑体"/>
          <w:sz w:val="32"/>
          <w:szCs w:val="32"/>
        </w:rPr>
        <w:t>违约责任</w:t>
      </w:r>
    </w:p>
    <w:p w14:paraId="2E74C193">
      <w:pPr>
        <w:pStyle w:val="17"/>
        <w:spacing w:line="570" w:lineRule="exact"/>
        <w:ind w:firstLine="640" w:firstLineChars="200"/>
      </w:pPr>
      <w:r>
        <w:rPr>
          <w:rFonts w:hint="eastAsia" w:ascii="仿宋_GB2312" w:eastAsia="仿宋_GB2312" w:cs="仿宋_GB2312"/>
          <w:color w:val="auto"/>
          <w:sz w:val="32"/>
          <w:szCs w:val="32"/>
        </w:rPr>
        <w:t>协议期内，一方不得单方终止或解除协议，违约方经催告未纠正，守约方有权解除协议，违约方承担守约方全部损失，包括直接损失、第三方追索责任及维权费用等。如遇</w:t>
      </w:r>
      <w:r>
        <w:rPr>
          <w:rFonts w:hint="eastAsia" w:ascii="仿宋_GB2312" w:hAnsi="Calibri" w:eastAsia="仿宋_GB2312" w:cs="仿宋_GB2312"/>
          <w:color w:val="auto"/>
          <w:kern w:val="2"/>
          <w:sz w:val="32"/>
          <w:szCs w:val="32"/>
        </w:rPr>
        <w:t>不可抗力或一方重大变故无法履约、或政府原因无法继续履行本协议的，双方可协商解除本协议。</w:t>
      </w:r>
    </w:p>
    <w:p w14:paraId="46F27242">
      <w:pPr>
        <w:spacing w:line="570" w:lineRule="exact"/>
        <w:ind w:firstLine="688" w:firstLineChars="215"/>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七</w:t>
      </w:r>
      <w:r>
        <w:rPr>
          <w:rFonts w:ascii="Times New Roman" w:hAnsi="Times New Roman" w:eastAsia="黑体"/>
          <w:sz w:val="32"/>
          <w:szCs w:val="32"/>
        </w:rPr>
        <w:t>条</w:t>
      </w:r>
      <w:r>
        <w:rPr>
          <w:rFonts w:ascii="Times New Roman" w:hAnsi="Times New Roman" w:eastAsia="仿宋_GB2312"/>
          <w:sz w:val="32"/>
          <w:szCs w:val="32"/>
        </w:rPr>
        <w:t xml:space="preserve"> </w:t>
      </w:r>
      <w:r>
        <w:rPr>
          <w:rFonts w:ascii="Times New Roman" w:hAnsi="Times New Roman" w:eastAsia="黑体"/>
          <w:sz w:val="32"/>
          <w:szCs w:val="32"/>
        </w:rPr>
        <w:t>保密条款</w:t>
      </w:r>
    </w:p>
    <w:p w14:paraId="4A3E9D5D">
      <w:pPr>
        <w:spacing w:line="570" w:lineRule="exact"/>
        <w:ind w:firstLine="688" w:firstLineChars="215"/>
      </w:pPr>
      <w:r>
        <w:rPr>
          <w:rFonts w:hint="eastAsia" w:ascii="仿宋_GB2312" w:eastAsia="仿宋_GB2312" w:cs="仿宋_GB2312"/>
          <w:sz w:val="32"/>
          <w:szCs w:val="32"/>
        </w:rPr>
        <w:t>1、协议期内，双方承诺不向其他方泄露协议内容，否则承担对方全部损失。</w:t>
      </w:r>
    </w:p>
    <w:p w14:paraId="1C4A1AFE">
      <w:pPr>
        <w:spacing w:line="570" w:lineRule="exact"/>
        <w:ind w:firstLine="688" w:firstLineChars="215"/>
      </w:pPr>
      <w:r>
        <w:rPr>
          <w:rFonts w:hint="eastAsia" w:ascii="仿宋_GB2312" w:eastAsia="仿宋_GB2312" w:cs="仿宋_GB2312"/>
          <w:sz w:val="32"/>
          <w:szCs w:val="32"/>
        </w:rPr>
        <w:t>2、未经对方书面认可，任何一方不得向其他方透露在协议执行中获得的对方商业信息。</w:t>
      </w:r>
    </w:p>
    <w:p w14:paraId="22A01347">
      <w:pPr>
        <w:spacing w:line="570" w:lineRule="exact"/>
        <w:ind w:firstLine="640" w:firstLineChars="200"/>
      </w:pPr>
      <w:r>
        <w:rPr>
          <w:rFonts w:hint="eastAsia" w:ascii="仿宋_GB2312" w:eastAsia="仿宋_GB2312" w:cs="仿宋_GB2312"/>
          <w:sz w:val="32"/>
          <w:szCs w:val="32"/>
        </w:rPr>
        <w:t>3、本保密义务在协议期满、解除或终止后仍有效。</w:t>
      </w:r>
    </w:p>
    <w:p w14:paraId="1AD38F8A">
      <w:pPr>
        <w:spacing w:line="570" w:lineRule="exact"/>
        <w:ind w:firstLine="688" w:firstLineChars="215"/>
        <w:rPr>
          <w:rFonts w:ascii="Times New Roman" w:hAnsi="Times New Roman" w:eastAsia="黑体"/>
          <w:sz w:val="32"/>
          <w:szCs w:val="32"/>
        </w:rPr>
      </w:pPr>
      <w:r>
        <w:rPr>
          <w:rFonts w:ascii="Times New Roman" w:hAnsi="Times New Roman" w:eastAsia="黑体"/>
          <w:sz w:val="32"/>
          <w:szCs w:val="32"/>
        </w:rPr>
        <w:t>第</w:t>
      </w:r>
      <w:r>
        <w:rPr>
          <w:rFonts w:hint="eastAsia" w:ascii="Times New Roman" w:hAnsi="Times New Roman" w:eastAsia="黑体"/>
          <w:sz w:val="32"/>
          <w:szCs w:val="32"/>
        </w:rPr>
        <w:t>八</w:t>
      </w:r>
      <w:r>
        <w:rPr>
          <w:rFonts w:ascii="Times New Roman" w:hAnsi="Times New Roman" w:eastAsia="黑体"/>
          <w:sz w:val="32"/>
          <w:szCs w:val="32"/>
        </w:rPr>
        <w:t>条</w:t>
      </w:r>
      <w:r>
        <w:rPr>
          <w:rFonts w:hint="eastAsia" w:ascii="Times New Roman" w:hAnsi="Times New Roman" w:eastAsia="黑体"/>
          <w:sz w:val="32"/>
          <w:szCs w:val="32"/>
        </w:rPr>
        <w:t xml:space="preserve"> </w:t>
      </w:r>
      <w:r>
        <w:rPr>
          <w:rFonts w:ascii="Times New Roman" w:hAnsi="Times New Roman" w:eastAsia="黑体"/>
          <w:sz w:val="32"/>
          <w:szCs w:val="32"/>
        </w:rPr>
        <w:t>其他</w:t>
      </w:r>
      <w:r>
        <w:rPr>
          <w:rFonts w:hint="eastAsia" w:ascii="Times New Roman" w:hAnsi="Times New Roman" w:eastAsia="黑体"/>
          <w:sz w:val="32"/>
          <w:szCs w:val="32"/>
        </w:rPr>
        <w:t>条款</w:t>
      </w:r>
    </w:p>
    <w:p w14:paraId="2C7FFD25">
      <w:pPr>
        <w:spacing w:line="570" w:lineRule="exact"/>
        <w:ind w:firstLine="640" w:firstLineChars="200"/>
      </w:pPr>
      <w:r>
        <w:rPr>
          <w:rFonts w:hint="eastAsia" w:ascii="仿宋_GB2312" w:eastAsia="仿宋_GB2312" w:cs="仿宋_GB2312"/>
          <w:sz w:val="32"/>
          <w:szCs w:val="32"/>
        </w:rPr>
        <w:t>1、本协议一式肆份，甲、乙双方各持贰份，自双方签字盖章生效，具同等法律效力。</w:t>
      </w:r>
    </w:p>
    <w:p w14:paraId="115CCD49">
      <w:pPr>
        <w:spacing w:line="570" w:lineRule="exact"/>
        <w:ind w:firstLine="688" w:firstLineChars="215"/>
      </w:pPr>
      <w:r>
        <w:rPr>
          <w:rFonts w:hint="eastAsia" w:ascii="仿宋_GB2312" w:eastAsia="仿宋_GB2312" w:cs="仿宋_GB2312"/>
          <w:sz w:val="32"/>
          <w:szCs w:val="32"/>
        </w:rPr>
        <w:t>2、协议未尽事宜，双方协商后可另签补充协议。</w:t>
      </w:r>
    </w:p>
    <w:p w14:paraId="055758CA">
      <w:pPr>
        <w:pStyle w:val="17"/>
        <w:ind w:firstLine="640" w:firstLineChars="200"/>
      </w:pPr>
      <w:bookmarkStart w:id="0" w:name="OLE_LINK20"/>
      <w:bookmarkStart w:id="1" w:name="OLE_LINK21"/>
      <w:r>
        <w:rPr>
          <w:rFonts w:hint="eastAsia" w:ascii="仿宋_GB2312" w:eastAsia="仿宋_GB2312" w:cs="仿宋_GB2312"/>
          <w:color w:val="auto"/>
          <w:sz w:val="32"/>
          <w:szCs w:val="32"/>
        </w:rPr>
        <w:t>3、协议履行及相关争议，各方先友好协商解决；协商不成，</w:t>
      </w:r>
      <w:r>
        <w:rPr>
          <w:rFonts w:hint="eastAsia" w:ascii="仿宋_GB2312" w:hAnsi="仿宋_GB2312" w:eastAsia="仿宋_GB2312" w:cs="仿宋_GB2312"/>
          <w:sz w:val="32"/>
          <w:szCs w:val="32"/>
        </w:rPr>
        <w:t>任何一方可向甲方所在地人民法院提起诉讼</w:t>
      </w:r>
      <w:r>
        <w:rPr>
          <w:rFonts w:hint="eastAsia" w:ascii="仿宋_GB2312" w:eastAsia="仿宋_GB2312" w:cs="仿宋_GB2312"/>
          <w:color w:val="auto"/>
          <w:sz w:val="32"/>
          <w:szCs w:val="32"/>
        </w:rPr>
        <w:t>。</w:t>
      </w:r>
    </w:p>
    <w:p w14:paraId="335637D3">
      <w:pPr>
        <w:adjustRightInd w:val="0"/>
        <w:snapToGrid w:val="0"/>
        <w:spacing w:line="360" w:lineRule="auto"/>
        <w:contextualSpacing/>
        <w:jc w:val="center"/>
        <w:rPr>
          <w:rFonts w:ascii="仿宋_GB2312" w:eastAsia="仿宋_GB2312" w:cs="仿宋_GB2312"/>
          <w:b/>
          <w:sz w:val="32"/>
          <w:szCs w:val="32"/>
        </w:rPr>
      </w:pPr>
      <w:r>
        <w:rPr>
          <w:rFonts w:ascii="仿宋_GB2312" w:hAnsi="仿宋_GB2312" w:eastAsia="仿宋_GB2312" w:cs="仿宋_GB2312"/>
          <w:sz w:val="32"/>
          <w:szCs w:val="32"/>
        </w:rPr>
        <w:t>（以下无正文）</w:t>
      </w:r>
    </w:p>
    <w:bookmarkEnd w:id="0"/>
    <w:bookmarkEnd w:id="1"/>
    <w:tbl>
      <w:tblPr>
        <w:tblStyle w:val="11"/>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0"/>
        <w:gridCol w:w="4513"/>
      </w:tblGrid>
      <w:tr w14:paraId="1A55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980" w:type="dxa"/>
          </w:tcPr>
          <w:p w14:paraId="3B099EA1">
            <w:pPr>
              <w:spacing w:line="520" w:lineRule="exact"/>
              <w:rPr>
                <w:rFonts w:eastAsia="仿宋"/>
                <w:spacing w:val="-8"/>
                <w:sz w:val="24"/>
              </w:rPr>
            </w:pPr>
            <w:r>
              <w:rPr>
                <w:rFonts w:hint="eastAsia" w:eastAsia="仿宋"/>
                <w:sz w:val="24"/>
              </w:rPr>
              <w:t>甲方</w:t>
            </w:r>
            <w:r>
              <w:rPr>
                <w:rFonts w:eastAsia="仿宋"/>
                <w:sz w:val="24"/>
              </w:rPr>
              <w:t>：</w:t>
            </w:r>
          </w:p>
          <w:p w14:paraId="67868D64">
            <w:pPr>
              <w:spacing w:line="520" w:lineRule="exact"/>
              <w:rPr>
                <w:rFonts w:eastAsia="仿宋"/>
                <w:sz w:val="24"/>
              </w:rPr>
            </w:pPr>
            <w:r>
              <w:rPr>
                <w:rFonts w:hint="eastAsia" w:eastAsia="仿宋"/>
                <w:sz w:val="24"/>
              </w:rPr>
              <w:t>税号：</w:t>
            </w:r>
          </w:p>
          <w:p w14:paraId="28DC8DFF">
            <w:pPr>
              <w:spacing w:line="520" w:lineRule="exact"/>
              <w:rPr>
                <w:rFonts w:eastAsia="仿宋"/>
                <w:sz w:val="24"/>
              </w:rPr>
            </w:pPr>
            <w:r>
              <w:rPr>
                <w:rFonts w:hint="eastAsia" w:eastAsia="仿宋"/>
                <w:sz w:val="24"/>
              </w:rPr>
              <w:t>开户银行：</w:t>
            </w:r>
          </w:p>
          <w:p w14:paraId="1418C9C9">
            <w:pPr>
              <w:spacing w:line="520" w:lineRule="exact"/>
              <w:rPr>
                <w:rFonts w:eastAsia="仿宋"/>
                <w:sz w:val="24"/>
              </w:rPr>
            </w:pPr>
            <w:r>
              <w:rPr>
                <w:rFonts w:hint="eastAsia" w:eastAsia="仿宋"/>
                <w:sz w:val="24"/>
              </w:rPr>
              <w:t>账号：</w:t>
            </w:r>
          </w:p>
          <w:p w14:paraId="497B4784">
            <w:pPr>
              <w:spacing w:line="520" w:lineRule="exact"/>
              <w:rPr>
                <w:rFonts w:eastAsia="仿宋"/>
                <w:sz w:val="24"/>
              </w:rPr>
            </w:pPr>
            <w:r>
              <w:rPr>
                <w:rFonts w:eastAsia="仿宋"/>
                <w:sz w:val="24"/>
              </w:rPr>
              <w:t>地址：</w:t>
            </w:r>
          </w:p>
          <w:p w14:paraId="55B8011C">
            <w:pPr>
              <w:spacing w:line="520" w:lineRule="exact"/>
              <w:rPr>
                <w:rFonts w:eastAsia="仿宋"/>
                <w:sz w:val="24"/>
              </w:rPr>
            </w:pPr>
            <w:r>
              <w:rPr>
                <w:rFonts w:hint="eastAsia" w:eastAsia="仿宋"/>
                <w:sz w:val="24"/>
              </w:rPr>
              <w:t>电话：</w:t>
            </w:r>
            <w:bookmarkStart w:id="2" w:name="_GoBack"/>
            <w:bookmarkEnd w:id="2"/>
          </w:p>
          <w:p w14:paraId="4B992EBC">
            <w:pPr>
              <w:spacing w:line="520" w:lineRule="exact"/>
              <w:rPr>
                <w:rFonts w:eastAsia="仿宋"/>
                <w:sz w:val="24"/>
              </w:rPr>
            </w:pPr>
            <w:r>
              <w:rPr>
                <w:rFonts w:hint="eastAsia" w:eastAsia="仿宋"/>
                <w:sz w:val="24"/>
              </w:rPr>
              <w:t>代表人：</w:t>
            </w:r>
          </w:p>
          <w:p w14:paraId="2BAD0044">
            <w:pPr>
              <w:spacing w:line="520" w:lineRule="exact"/>
              <w:rPr>
                <w:rFonts w:eastAsia="等线"/>
                <w:sz w:val="24"/>
              </w:rPr>
            </w:pPr>
            <w:r>
              <w:rPr>
                <w:rFonts w:hint="eastAsia" w:eastAsia="仿宋"/>
                <w:sz w:val="24"/>
              </w:rPr>
              <w:t>签订时间：</w:t>
            </w:r>
          </w:p>
        </w:tc>
        <w:tc>
          <w:tcPr>
            <w:tcW w:w="4513" w:type="dxa"/>
          </w:tcPr>
          <w:p w14:paraId="041A21A5">
            <w:pPr>
              <w:spacing w:line="520" w:lineRule="exact"/>
              <w:rPr>
                <w:rFonts w:eastAsia="仿宋"/>
                <w:sz w:val="24"/>
              </w:rPr>
            </w:pPr>
            <w:r>
              <w:rPr>
                <w:rFonts w:hint="eastAsia" w:eastAsia="仿宋"/>
                <w:sz w:val="24"/>
              </w:rPr>
              <w:t>乙方</w:t>
            </w:r>
            <w:r>
              <w:rPr>
                <w:rFonts w:eastAsia="仿宋"/>
                <w:sz w:val="24"/>
              </w:rPr>
              <w:t>：</w:t>
            </w:r>
          </w:p>
          <w:p w14:paraId="012CADEF">
            <w:pPr>
              <w:spacing w:line="520" w:lineRule="exact"/>
              <w:rPr>
                <w:rFonts w:hint="eastAsia" w:eastAsia="仿宋"/>
                <w:sz w:val="24"/>
              </w:rPr>
            </w:pPr>
            <w:r>
              <w:rPr>
                <w:rFonts w:hint="eastAsia" w:eastAsia="仿宋"/>
                <w:sz w:val="24"/>
              </w:rPr>
              <w:t>税号：</w:t>
            </w:r>
          </w:p>
          <w:p w14:paraId="507A318E">
            <w:pPr>
              <w:spacing w:line="520" w:lineRule="exact"/>
              <w:rPr>
                <w:rFonts w:hint="eastAsia" w:eastAsia="仿宋"/>
                <w:sz w:val="24"/>
              </w:rPr>
            </w:pPr>
            <w:r>
              <w:rPr>
                <w:rFonts w:hint="eastAsia" w:eastAsia="仿宋"/>
                <w:sz w:val="24"/>
              </w:rPr>
              <w:t>开户银行：</w:t>
            </w:r>
          </w:p>
          <w:p w14:paraId="451D4404">
            <w:pPr>
              <w:spacing w:line="520" w:lineRule="exact"/>
              <w:rPr>
                <w:rFonts w:hint="eastAsia" w:eastAsia="仿宋"/>
                <w:sz w:val="24"/>
              </w:rPr>
            </w:pPr>
            <w:r>
              <w:rPr>
                <w:rFonts w:hint="eastAsia" w:eastAsia="仿宋"/>
                <w:sz w:val="24"/>
              </w:rPr>
              <w:t>账号：</w:t>
            </w:r>
          </w:p>
          <w:p w14:paraId="6BDF9A53">
            <w:pPr>
              <w:spacing w:line="520" w:lineRule="exact"/>
              <w:rPr>
                <w:rFonts w:eastAsia="仿宋"/>
                <w:sz w:val="24"/>
              </w:rPr>
            </w:pPr>
            <w:r>
              <w:rPr>
                <w:rFonts w:eastAsia="仿宋"/>
                <w:sz w:val="24"/>
              </w:rPr>
              <w:t>地址：</w:t>
            </w:r>
          </w:p>
          <w:p w14:paraId="21608551">
            <w:pPr>
              <w:spacing w:line="520" w:lineRule="exact"/>
              <w:rPr>
                <w:rFonts w:eastAsia="仿宋"/>
                <w:sz w:val="24"/>
              </w:rPr>
            </w:pPr>
            <w:r>
              <w:rPr>
                <w:rFonts w:hint="eastAsia" w:eastAsia="仿宋"/>
                <w:sz w:val="24"/>
              </w:rPr>
              <w:t>电话：</w:t>
            </w:r>
          </w:p>
          <w:p w14:paraId="7DE1B804">
            <w:pPr>
              <w:spacing w:line="520" w:lineRule="exact"/>
              <w:rPr>
                <w:rFonts w:eastAsia="仿宋"/>
                <w:sz w:val="24"/>
              </w:rPr>
            </w:pPr>
            <w:r>
              <w:rPr>
                <w:rFonts w:hint="eastAsia" w:eastAsia="仿宋"/>
                <w:sz w:val="24"/>
              </w:rPr>
              <w:t>代表人：</w:t>
            </w:r>
          </w:p>
          <w:p w14:paraId="17FA7061">
            <w:pPr>
              <w:spacing w:line="520" w:lineRule="exact"/>
              <w:rPr>
                <w:rFonts w:eastAsia="等线"/>
                <w:sz w:val="24"/>
              </w:rPr>
            </w:pPr>
            <w:r>
              <w:rPr>
                <w:rFonts w:hint="eastAsia" w:eastAsia="仿宋"/>
                <w:sz w:val="24"/>
              </w:rPr>
              <w:t>签订时间：</w:t>
            </w:r>
          </w:p>
        </w:tc>
      </w:tr>
    </w:tbl>
    <w:p w14:paraId="684107E4">
      <w:pPr>
        <w:spacing w:line="360" w:lineRule="auto"/>
      </w:pPr>
    </w:p>
    <w:sectPr>
      <w:pgSz w:w="11906" w:h="16838"/>
      <w:pgMar w:top="2098" w:right="1474" w:bottom="170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7608595-4D2F-4BA7-9582-D0A44295AE26}"/>
  </w:font>
  <w:font w:name="Arial">
    <w:panose1 w:val="020B0604020202020204"/>
    <w:charset w:val="01"/>
    <w:family w:val="swiss"/>
    <w:pitch w:val="default"/>
    <w:sig w:usb0="E0002AFF" w:usb1="C0007843" w:usb2="00000009" w:usb3="00000000" w:csb0="400001FF" w:csb1="FFFF0000"/>
    <w:embedRegular r:id="rId2" w:fontKey="{944764FB-7DAE-43E2-A4FD-813AFF948859}"/>
  </w:font>
  <w:font w:name="黑体">
    <w:panose1 w:val="02010609060101010101"/>
    <w:charset w:val="86"/>
    <w:family w:val="auto"/>
    <w:pitch w:val="default"/>
    <w:sig w:usb0="800002BF" w:usb1="38CF7CFA" w:usb2="00000016" w:usb3="00000000" w:csb0="00040001" w:csb1="00000000"/>
    <w:embedRegular r:id="rId3" w:fontKey="{92347D9B-8834-403D-93B9-D110D1FF0D97}"/>
  </w:font>
  <w:font w:name="Courier New">
    <w:panose1 w:val="02070309020205020404"/>
    <w:charset w:val="01"/>
    <w:family w:val="modern"/>
    <w:pitch w:val="default"/>
    <w:sig w:usb0="E0002AFF" w:usb1="C0007843" w:usb2="00000009" w:usb3="00000000" w:csb0="400001FF" w:csb1="FFFF0000"/>
    <w:embedRegular r:id="rId4" w:fontKey="{C3A0A773-73C4-4F81-A926-8C05B48E2C9B}"/>
  </w:font>
  <w:font w:name="Symbol">
    <w:panose1 w:val="05050102010706020507"/>
    <w:charset w:val="02"/>
    <w:family w:val="roman"/>
    <w:pitch w:val="default"/>
    <w:sig w:usb0="00000000" w:usb1="00000000" w:usb2="00000000" w:usb3="00000000" w:csb0="80000000" w:csb1="00000000"/>
    <w:embedRegular r:id="rId5" w:fontKey="{B37724D3-80DF-44B3-988F-20ECD196B606}"/>
  </w:font>
  <w:font w:name="Calibri">
    <w:panose1 w:val="020F0502020204030204"/>
    <w:charset w:val="00"/>
    <w:family w:val="swiss"/>
    <w:pitch w:val="default"/>
    <w:sig w:usb0="E00002FF" w:usb1="4000ACFF" w:usb2="00000001" w:usb3="00000000" w:csb0="2000019F" w:csb1="00000000"/>
    <w:embedRegular r:id="rId6" w:fontKey="{3DF16F48-5220-4FC6-894D-6465D56103DB}"/>
  </w:font>
  <w:font w:name="方正小标宋简体">
    <w:panose1 w:val="02000000000000000000"/>
    <w:charset w:val="86"/>
    <w:family w:val="auto"/>
    <w:pitch w:val="default"/>
    <w:sig w:usb0="A00002BF" w:usb1="184F6CFA" w:usb2="00000012" w:usb3="00000000" w:csb0="00040001" w:csb1="00000000"/>
    <w:embedRegular r:id="rId7" w:fontKey="{212E64E3-2FDC-460A-8094-38119C7758DA}"/>
  </w:font>
  <w:font w:name="仿宋_GB2312">
    <w:panose1 w:val="02010609030101010101"/>
    <w:charset w:val="86"/>
    <w:family w:val="modern"/>
    <w:pitch w:val="default"/>
    <w:sig w:usb0="00000001" w:usb1="080E0000" w:usb2="00000000" w:usb3="00000000" w:csb0="00040000" w:csb1="00000000"/>
    <w:embedRegular r:id="rId8" w:fontKey="{F80237EF-19F7-4CDF-952E-91EE8E399A89}"/>
  </w:font>
  <w:font w:name="微软雅黑">
    <w:panose1 w:val="020B0503020204020204"/>
    <w:charset w:val="86"/>
    <w:family w:val="swiss"/>
    <w:pitch w:val="default"/>
    <w:sig w:usb0="80000287" w:usb1="280F3C52" w:usb2="00000016" w:usb3="00000000" w:csb0="0004001F" w:csb1="00000000"/>
    <w:embedRegular r:id="rId9" w:fontKey="{5915AEA5-4019-4698-AF16-E5CD6903EAA9}"/>
  </w:font>
  <w:font w:name="楷体_GB2312">
    <w:panose1 w:val="02010609030101010101"/>
    <w:charset w:val="86"/>
    <w:family w:val="modern"/>
    <w:pitch w:val="default"/>
    <w:sig w:usb0="00000001" w:usb1="080E0000" w:usb2="00000000" w:usb3="00000000" w:csb0="00040000" w:csb1="00000000"/>
    <w:embedRegular r:id="rId10" w:fontKey="{F6BEE5E8-4AA9-4AFC-845A-41D9E191AE81}"/>
  </w:font>
  <w:font w:name="仿宋">
    <w:panose1 w:val="02010609060101010101"/>
    <w:charset w:val="86"/>
    <w:family w:val="modern"/>
    <w:pitch w:val="default"/>
    <w:sig w:usb0="800002BF" w:usb1="38CF7CFA" w:usb2="00000016" w:usb3="00000000" w:csb0="00040001" w:csb1="00000000"/>
    <w:embedRegular r:id="rId11" w:fontKey="{D32B0973-B0CC-4AF5-BB66-1A7078598CD8}"/>
  </w:font>
  <w:font w:name="等线">
    <w:panose1 w:val="02010600030101010101"/>
    <w:charset w:val="86"/>
    <w:family w:val="auto"/>
    <w:pitch w:val="default"/>
    <w:sig w:usb0="A00002BF" w:usb1="38CF7CFA" w:usb2="00000016" w:usb3="00000000" w:csb0="0004000F" w:csb1="00000000"/>
    <w:embedRegular r:id="rId12" w:fontKey="{E5D73B13-42B5-4413-B067-F5E78936270D}"/>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4OGRjMGNlOGNmZmMzNWNlY2E0NTczM2NkZGIyM2IifQ=="/>
    <w:docVar w:name="KSO_WPS_MARK_KEY" w:val="ff5c4dec-a6ca-4b0c-bde2-96c50a5c78a4"/>
  </w:docVars>
  <w:rsids>
    <w:rsidRoot w:val="0064029D"/>
    <w:rsid w:val="000568B6"/>
    <w:rsid w:val="00083661"/>
    <w:rsid w:val="000B7E13"/>
    <w:rsid w:val="000D4CF6"/>
    <w:rsid w:val="000D4F11"/>
    <w:rsid w:val="000D52D9"/>
    <w:rsid w:val="001042D1"/>
    <w:rsid w:val="0014100E"/>
    <w:rsid w:val="0014276F"/>
    <w:rsid w:val="001437E7"/>
    <w:rsid w:val="00143FF6"/>
    <w:rsid w:val="00151233"/>
    <w:rsid w:val="001513E5"/>
    <w:rsid w:val="0015768D"/>
    <w:rsid w:val="002403F7"/>
    <w:rsid w:val="002F3C0A"/>
    <w:rsid w:val="002F43A3"/>
    <w:rsid w:val="002F62A9"/>
    <w:rsid w:val="00306911"/>
    <w:rsid w:val="00361A21"/>
    <w:rsid w:val="00381B2B"/>
    <w:rsid w:val="003B59DE"/>
    <w:rsid w:val="003B5EC0"/>
    <w:rsid w:val="003B6239"/>
    <w:rsid w:val="003D0CF7"/>
    <w:rsid w:val="0040242B"/>
    <w:rsid w:val="00425FA1"/>
    <w:rsid w:val="004934D9"/>
    <w:rsid w:val="004F032E"/>
    <w:rsid w:val="0050525B"/>
    <w:rsid w:val="005321F9"/>
    <w:rsid w:val="00550328"/>
    <w:rsid w:val="00565293"/>
    <w:rsid w:val="00573525"/>
    <w:rsid w:val="005A0C84"/>
    <w:rsid w:val="005B0A7B"/>
    <w:rsid w:val="005B4FB4"/>
    <w:rsid w:val="005C4CB7"/>
    <w:rsid w:val="005F771C"/>
    <w:rsid w:val="006050FA"/>
    <w:rsid w:val="006322B6"/>
    <w:rsid w:val="0064029D"/>
    <w:rsid w:val="00645CD1"/>
    <w:rsid w:val="00667F1E"/>
    <w:rsid w:val="00680731"/>
    <w:rsid w:val="00686335"/>
    <w:rsid w:val="006951A9"/>
    <w:rsid w:val="00696E83"/>
    <w:rsid w:val="006A32C1"/>
    <w:rsid w:val="006C1C09"/>
    <w:rsid w:val="00711F31"/>
    <w:rsid w:val="00737192"/>
    <w:rsid w:val="00742C3F"/>
    <w:rsid w:val="007666C9"/>
    <w:rsid w:val="00783891"/>
    <w:rsid w:val="007A430A"/>
    <w:rsid w:val="007B0FC1"/>
    <w:rsid w:val="007D30D1"/>
    <w:rsid w:val="00826100"/>
    <w:rsid w:val="00832B6C"/>
    <w:rsid w:val="00854A23"/>
    <w:rsid w:val="00860AA4"/>
    <w:rsid w:val="00875A33"/>
    <w:rsid w:val="00880B67"/>
    <w:rsid w:val="008835EA"/>
    <w:rsid w:val="008B562C"/>
    <w:rsid w:val="00961D87"/>
    <w:rsid w:val="0098402A"/>
    <w:rsid w:val="009A0508"/>
    <w:rsid w:val="009B0B8D"/>
    <w:rsid w:val="009C272E"/>
    <w:rsid w:val="009D410C"/>
    <w:rsid w:val="00A15F50"/>
    <w:rsid w:val="00A8436D"/>
    <w:rsid w:val="00AB3053"/>
    <w:rsid w:val="00AC6CD2"/>
    <w:rsid w:val="00AC6DE1"/>
    <w:rsid w:val="00B15498"/>
    <w:rsid w:val="00B34A42"/>
    <w:rsid w:val="00B34B4C"/>
    <w:rsid w:val="00B56F6D"/>
    <w:rsid w:val="00B64504"/>
    <w:rsid w:val="00BA0367"/>
    <w:rsid w:val="00BB78B4"/>
    <w:rsid w:val="00C0525C"/>
    <w:rsid w:val="00C369F4"/>
    <w:rsid w:val="00C43354"/>
    <w:rsid w:val="00C84910"/>
    <w:rsid w:val="00CA0604"/>
    <w:rsid w:val="00CC3355"/>
    <w:rsid w:val="00CD402C"/>
    <w:rsid w:val="00CE082B"/>
    <w:rsid w:val="00CE552A"/>
    <w:rsid w:val="00D161AA"/>
    <w:rsid w:val="00D93907"/>
    <w:rsid w:val="00D9461C"/>
    <w:rsid w:val="00DA1AFC"/>
    <w:rsid w:val="00DA35DD"/>
    <w:rsid w:val="00DB3B36"/>
    <w:rsid w:val="00DC0C7F"/>
    <w:rsid w:val="00E2170F"/>
    <w:rsid w:val="00E4155E"/>
    <w:rsid w:val="00E804AD"/>
    <w:rsid w:val="00E95AAD"/>
    <w:rsid w:val="00EB4BFB"/>
    <w:rsid w:val="00EE32FD"/>
    <w:rsid w:val="00F254B0"/>
    <w:rsid w:val="00F42679"/>
    <w:rsid w:val="00F8709F"/>
    <w:rsid w:val="00F87B8A"/>
    <w:rsid w:val="00FA4CDD"/>
    <w:rsid w:val="0E0B334C"/>
    <w:rsid w:val="0EFC4E1E"/>
    <w:rsid w:val="144A5CBB"/>
    <w:rsid w:val="184F2B62"/>
    <w:rsid w:val="18DC4A57"/>
    <w:rsid w:val="1FE37A81"/>
    <w:rsid w:val="256626FB"/>
    <w:rsid w:val="2E7112C4"/>
    <w:rsid w:val="31375D81"/>
    <w:rsid w:val="31FF6BF7"/>
    <w:rsid w:val="33A87367"/>
    <w:rsid w:val="35B83C1D"/>
    <w:rsid w:val="36B632D6"/>
    <w:rsid w:val="37600FC8"/>
    <w:rsid w:val="3D170FAE"/>
    <w:rsid w:val="3E0203F7"/>
    <w:rsid w:val="42DC19EE"/>
    <w:rsid w:val="4DF5293C"/>
    <w:rsid w:val="4E201ADC"/>
    <w:rsid w:val="4EA7554A"/>
    <w:rsid w:val="523375BA"/>
    <w:rsid w:val="523D0B0D"/>
    <w:rsid w:val="53DF55EB"/>
    <w:rsid w:val="5DA30936"/>
    <w:rsid w:val="5E4A533B"/>
    <w:rsid w:val="641E0DFC"/>
    <w:rsid w:val="65593533"/>
    <w:rsid w:val="6D832633"/>
    <w:rsid w:val="727E135F"/>
    <w:rsid w:val="7B5C43AA"/>
    <w:rsid w:val="7F5C0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Times New Roman" w:hAnsi="Times New Roman"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cs="宋体"/>
      <w:kern w:val="0"/>
      <w:sz w:val="24"/>
    </w:rPr>
  </w:style>
  <w:style w:type="paragraph" w:styleId="10">
    <w:name w:val="annotation subject"/>
    <w:basedOn w:val="5"/>
    <w:next w:val="5"/>
    <w:qFormat/>
    <w:uiPriority w:val="0"/>
    <w:rPr>
      <w:b/>
      <w:bCs/>
    </w:rPr>
  </w:style>
  <w:style w:type="character" w:styleId="13">
    <w:name w:val="annotation reference"/>
    <w:qFormat/>
    <w:uiPriority w:val="0"/>
    <w:rPr>
      <w:sz w:val="21"/>
      <w:szCs w:val="21"/>
    </w:rPr>
  </w:style>
  <w:style w:type="character" w:customStyle="1" w:styleId="14">
    <w:name w:val="font51"/>
    <w:qFormat/>
    <w:uiPriority w:val="0"/>
    <w:rPr>
      <w:rFonts w:ascii="宋体" w:eastAsia="宋体" w:cs="宋体"/>
      <w:color w:val="000000"/>
      <w:sz w:val="20"/>
      <w:szCs w:val="20"/>
      <w:u w:val="none"/>
    </w:rPr>
  </w:style>
  <w:style w:type="character" w:customStyle="1" w:styleId="15">
    <w:name w:val="font01"/>
    <w:qFormat/>
    <w:uiPriority w:val="0"/>
    <w:rPr>
      <w:rFonts w:ascii="宋体" w:eastAsia="宋体" w:cs="宋体"/>
      <w:color w:val="000000"/>
      <w:sz w:val="24"/>
      <w:szCs w:val="24"/>
      <w:u w:val="none"/>
    </w:rPr>
  </w:style>
  <w:style w:type="paragraph" w:customStyle="1" w:styleId="16">
    <w:name w:val="修订1"/>
    <w:qFormat/>
    <w:uiPriority w:val="0"/>
    <w:rPr>
      <w:rFonts w:ascii="Calibri" w:hAnsi="Calibri" w:eastAsia="宋体" w:cs="Times New Roman"/>
      <w:kern w:val="2"/>
      <w:sz w:val="21"/>
      <w:szCs w:val="22"/>
      <w:lang w:val="en-US" w:eastAsia="zh-CN" w:bidi="ar-SA"/>
    </w:rPr>
  </w:style>
  <w:style w:type="paragraph" w:customStyle="1" w:styleId="1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8">
    <w:name w:val="List Paragraph"/>
    <w:basedOn w:val="1"/>
    <w:qFormat/>
    <w:uiPriority w:val="0"/>
    <w:pPr>
      <w:ind w:firstLine="200" w:firstLineChars="200"/>
    </w:pPr>
  </w:style>
  <w:style w:type="paragraph" w:customStyle="1" w:styleId="19">
    <w:name w:val="Fließtext"/>
    <w:basedOn w:val="1"/>
    <w:qFormat/>
    <w:uiPriority w:val="0"/>
    <w:pPr>
      <w:overflowPunct w:val="0"/>
      <w:autoSpaceDE w:val="0"/>
      <w:autoSpaceDN w:val="0"/>
      <w:textAlignment w:val="baseline"/>
    </w:pPr>
    <w:rPr>
      <w:kern w:val="28"/>
      <w:szCs w:val="20"/>
    </w:rPr>
  </w:style>
  <w:style w:type="character" w:customStyle="1" w:styleId="20">
    <w:name w:val="NormalCharacter"/>
    <w:qFormat/>
    <w:uiPriority w:val="0"/>
    <w:rPr>
      <w:kern w:val="2"/>
      <w:sz w:val="21"/>
      <w:szCs w:val="22"/>
      <w:lang w:val="en-US" w:eastAsia="zh-CN" w:bidi="ar-SA"/>
    </w:rPr>
  </w:style>
  <w:style w:type="paragraph" w:customStyle="1" w:styleId="21">
    <w:name w:val="修订2"/>
    <w:qFormat/>
    <w:uiPriority w:val="0"/>
    <w:rPr>
      <w:rFonts w:ascii="Calibri" w:hAnsi="Calibri" w:eastAsia="宋体" w:cs="Times New Roman"/>
      <w:kern w:val="2"/>
      <w:sz w:val="21"/>
      <w:szCs w:val="22"/>
      <w:lang w:val="en-US" w:eastAsia="zh-CN" w:bidi="ar-SA"/>
    </w:rPr>
  </w:style>
  <w:style w:type="paragraph" w:customStyle="1" w:styleId="22">
    <w:name w:val="修订3"/>
    <w:qFormat/>
    <w:uiPriority w:val="0"/>
    <w:rPr>
      <w:rFonts w:ascii="Calibri" w:hAnsi="Calibri" w:eastAsia="宋体" w:cs="Times New Roman"/>
      <w:kern w:val="2"/>
      <w:sz w:val="21"/>
      <w:szCs w:val="22"/>
      <w:lang w:val="en-US" w:eastAsia="zh-CN" w:bidi="ar-SA"/>
    </w:rPr>
  </w:style>
  <w:style w:type="paragraph" w:customStyle="1" w:styleId="23">
    <w:name w:val="修订4"/>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admin</Company>
  <Pages>5</Pages>
  <Words>1700</Words>
  <Characters>1813</Characters>
  <Lines>13</Lines>
  <Paragraphs>3</Paragraphs>
  <TotalTime>11514</TotalTime>
  <ScaleCrop>false</ScaleCrop>
  <LinksUpToDate>false</LinksUpToDate>
  <CharactersWithSpaces>1828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2025-10-24T08:16:00Z</dcterms:created>
  <dc:creator>ziggo</dc:creator>
  <cp:lastModifiedBy>张三丰</cp:lastModifiedBy>
  <cp:lastPrinted>2024-10-18T01:37:00Z</cp:lastPrinted>
  <dcterms:modified xsi:type="dcterms:W3CDTF">2026-10-23T00:52:05Z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eyJoZGlkIjoiNjA3YTkyZjNmNGE1Mzk5MmZkNTU4MmQxZTUzMDE3ZDkiLCJ1c2VySWQiOiIzOTA2ODA3MjUifQ==</vt:lpwstr>
  </property>
  <property fmtid="{D5CDD505-2E9C-101B-9397-08002B2CF9AE}" pid="4" name="ICV">
    <vt:lpwstr>CE78699A8F894F208ABDA5EE20212FE5_13</vt:lpwstr>
  </property>
</Properties>
</file>