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DB847">
      <w:pPr>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安全</w:t>
      </w:r>
      <w:r>
        <w:rPr>
          <w:rFonts w:hint="eastAsia" w:ascii="方正小标宋简体" w:hAnsi="方正小标宋简体" w:eastAsia="方正小标宋简体" w:cs="方正小标宋简体"/>
          <w:color w:val="auto"/>
          <w:sz w:val="44"/>
          <w:szCs w:val="44"/>
          <w:lang w:val="en-US" w:eastAsia="zh-CN"/>
        </w:rPr>
        <w:t>生产管理</w:t>
      </w:r>
      <w:r>
        <w:rPr>
          <w:rFonts w:hint="eastAsia" w:ascii="方正小标宋简体" w:hAnsi="方正小标宋简体" w:eastAsia="方正小标宋简体" w:cs="方正小标宋简体"/>
          <w:color w:val="auto"/>
          <w:sz w:val="44"/>
          <w:szCs w:val="44"/>
          <w:lang w:eastAsia="zh-CN"/>
        </w:rPr>
        <w:t>协议（</w:t>
      </w:r>
      <w:r>
        <w:rPr>
          <w:rFonts w:hint="eastAsia" w:ascii="方正小标宋简体" w:hAnsi="方正小标宋简体" w:eastAsia="方正小标宋简体" w:cs="方正小标宋简体"/>
          <w:color w:val="auto"/>
          <w:sz w:val="44"/>
          <w:szCs w:val="44"/>
          <w:lang w:val="en-US" w:eastAsia="zh-CN"/>
        </w:rPr>
        <w:t>办公</w:t>
      </w:r>
      <w:r>
        <w:rPr>
          <w:rFonts w:hint="eastAsia" w:ascii="方正小标宋简体" w:hAnsi="方正小标宋简体" w:eastAsia="方正小标宋简体" w:cs="方正小标宋简体"/>
          <w:color w:val="auto"/>
          <w:sz w:val="44"/>
          <w:szCs w:val="44"/>
          <w:lang w:eastAsia="zh-CN"/>
        </w:rPr>
        <w:t>）</w:t>
      </w:r>
    </w:p>
    <w:p w14:paraId="4E58C71E">
      <w:pPr>
        <w:jc w:val="center"/>
        <w:rPr>
          <w:rFonts w:hint="eastAsia" w:ascii="方正小标宋简体" w:hAnsi="方正小标宋简体" w:eastAsia="方正小标宋简体" w:cs="方正小标宋简体"/>
          <w:color w:val="auto"/>
          <w:sz w:val="44"/>
          <w:szCs w:val="44"/>
          <w:lang w:eastAsia="zh-CN"/>
        </w:rPr>
      </w:pPr>
    </w:p>
    <w:p w14:paraId="1D741550">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出租方：</w:t>
      </w:r>
      <w:r>
        <w:rPr>
          <w:rFonts w:hint="eastAsia" w:ascii="仿宋_GB2312" w:hAnsi="仿宋_GB2312" w:eastAsia="仿宋_GB2312" w:cs="仿宋_GB2312"/>
          <w:color w:val="auto"/>
          <w:sz w:val="32"/>
          <w:szCs w:val="32"/>
          <w:u w:val="single"/>
          <w:lang w:eastAsia="zh-CN"/>
        </w:rPr>
        <w:t>常州正达实业投资有限公司</w:t>
      </w:r>
      <w:r>
        <w:rPr>
          <w:rFonts w:hint="eastAsia" w:ascii="仿宋_GB2312" w:hAnsi="仿宋_GB2312" w:eastAsia="仿宋_GB2312" w:cs="仿宋_GB2312"/>
          <w:color w:val="auto"/>
          <w:sz w:val="32"/>
          <w:szCs w:val="32"/>
          <w:lang w:eastAsia="zh-CN"/>
        </w:rPr>
        <w:t>（以下简称“甲方”）</w:t>
      </w:r>
    </w:p>
    <w:p w14:paraId="0381D439">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承租方：</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eastAsia="zh-CN"/>
        </w:rPr>
        <w:t>（以下简称“乙方”）</w:t>
      </w:r>
    </w:p>
    <w:p w14:paraId="5838EA1B">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为加强房屋出租的安全管理，经甲乙双方共同协商，依据《安全生产法》第49条和《江苏省安全生产条例》第30条等内容相关规定，明确租赁双方的权利和义务，特制定本安全协议。</w:t>
      </w:r>
    </w:p>
    <w:p w14:paraId="3D4E0A31">
      <w:pPr>
        <w:keepNext w:val="0"/>
        <w:keepLines w:val="0"/>
        <w:pageBreakBefore w:val="0"/>
        <w:widowControl w:val="0"/>
        <w:kinsoku w:val="0"/>
        <w:wordWrap/>
        <w:overflowPunct w:val="0"/>
        <w:topLinePunct w:val="0"/>
        <w:autoSpaceDE w:val="0"/>
        <w:autoSpaceDN w:val="0"/>
        <w:bidi w:val="0"/>
        <w:adjustRightInd/>
        <w:snapToGrid/>
        <w:spacing w:line="400" w:lineRule="exact"/>
        <w:ind w:firstLine="640" w:firstLineChars="200"/>
        <w:jc w:val="left"/>
        <w:textAlignment w:val="auto"/>
        <w:rPr>
          <w:rFonts w:hint="eastAsia" w:ascii="仿宋_GB2312" w:hAnsi="仿宋_GB2312" w:eastAsia="仿宋_GB2312" w:cs="仿宋_GB2312"/>
          <w:color w:val="auto"/>
          <w:kern w:val="0"/>
          <w:sz w:val="32"/>
          <w:szCs w:val="32"/>
          <w:u w:val="single"/>
          <w:lang w:val="en-US" w:eastAsia="zh-CN"/>
        </w:rPr>
      </w:pPr>
      <w:r>
        <w:rPr>
          <w:rFonts w:hint="eastAsia" w:ascii="仿宋_GB2312" w:hAnsi="仿宋_GB2312" w:eastAsia="仿宋_GB2312" w:cs="仿宋_GB2312"/>
          <w:color w:val="auto"/>
          <w:sz w:val="32"/>
          <w:szCs w:val="32"/>
          <w:lang w:eastAsia="zh-CN"/>
        </w:rPr>
        <w:t>租赁范围（位置和面积）</w:t>
      </w:r>
      <w:r>
        <w:rPr>
          <w:rFonts w:hint="eastAsia" w:ascii="仿宋_GB2312" w:hAnsi="仿宋_GB2312" w:eastAsia="仿宋_GB2312" w:cs="仿宋_GB2312"/>
          <w:color w:val="auto"/>
          <w:sz w:val="32"/>
          <w:szCs w:val="32"/>
          <w:u w:val="single"/>
          <w:lang w:eastAsia="zh-CN"/>
        </w:rPr>
        <w:t xml:space="preserve"> </w:t>
      </w:r>
      <w:bookmarkStart w:id="0" w:name="_GoBack"/>
      <w:bookmarkEnd w:id="0"/>
    </w:p>
    <w:p w14:paraId="47DFCD10">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一、甲方责任</w:t>
      </w:r>
    </w:p>
    <w:p w14:paraId="094DA87A">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1.甲方应认真执行《中华人民共和国安全生产法》、《</w:t>
      </w:r>
      <w:r>
        <w:rPr>
          <w:rFonts w:hint="eastAsia" w:ascii="仿宋_GB2312" w:hAnsi="仿宋_GB2312" w:eastAsia="仿宋_GB2312" w:cs="仿宋_GB2312"/>
          <w:color w:val="auto"/>
          <w:sz w:val="32"/>
          <w:szCs w:val="32"/>
          <w:lang w:val="en-US" w:eastAsia="zh-CN"/>
        </w:rPr>
        <w:t>江苏</w:t>
      </w:r>
      <w:r>
        <w:rPr>
          <w:rFonts w:hint="eastAsia" w:ascii="仿宋_GB2312" w:hAnsi="仿宋_GB2312" w:eastAsia="仿宋_GB2312" w:cs="仿宋_GB2312"/>
          <w:color w:val="auto"/>
          <w:sz w:val="32"/>
          <w:szCs w:val="32"/>
          <w:lang w:eastAsia="zh-CN"/>
        </w:rPr>
        <w:t>省安全生产条例》、《</w:t>
      </w:r>
      <w:r>
        <w:rPr>
          <w:rFonts w:hint="eastAsia" w:ascii="仿宋_GB2312" w:hAnsi="仿宋_GB2312" w:eastAsia="仿宋_GB2312" w:cs="仿宋_GB2312"/>
          <w:color w:val="auto"/>
          <w:sz w:val="32"/>
          <w:szCs w:val="32"/>
          <w:lang w:val="en-US" w:eastAsia="zh-CN"/>
        </w:rPr>
        <w:t>江苏省</w:t>
      </w:r>
      <w:r>
        <w:rPr>
          <w:rFonts w:hint="eastAsia" w:ascii="仿宋_GB2312" w:hAnsi="仿宋_GB2312" w:eastAsia="仿宋_GB2312" w:cs="仿宋_GB2312"/>
          <w:color w:val="auto"/>
          <w:sz w:val="32"/>
          <w:szCs w:val="32"/>
          <w:lang w:eastAsia="zh-CN"/>
        </w:rPr>
        <w:t>消防条例》、《中华人民共和国消防法》等政府部门的有关规定。</w:t>
      </w:r>
    </w:p>
    <w:p w14:paraId="48C560F6">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2.甲方依照有关规定签订专门的安全生产管理协议，或者在租赁合同中明确各自安全生产职责。</w:t>
      </w:r>
    </w:p>
    <w:p w14:paraId="1172EADE">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3.向乙方告知出租场所以及相关设备的基本情况、安全生产要求。</w:t>
      </w:r>
    </w:p>
    <w:p w14:paraId="1821B5B5">
      <w:pPr>
        <w:keepNext w:val="0"/>
        <w:keepLines w:val="0"/>
        <w:widowControl/>
        <w:suppressLineNumbers w:val="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4.协调解决乙方提出的</w:t>
      </w:r>
      <w:r>
        <w:rPr>
          <w:rFonts w:hint="default" w:ascii="仿宋_GB2312" w:hAnsi="宋体" w:eastAsia="仿宋_GB2312" w:cs="仿宋_GB2312"/>
          <w:snapToGrid w:val="0"/>
          <w:color w:val="000000"/>
          <w:kern w:val="0"/>
          <w:sz w:val="32"/>
          <w:szCs w:val="32"/>
          <w:lang w:val="en-US" w:eastAsia="zh-CN" w:bidi="ar"/>
        </w:rPr>
        <w:t>属于甲方职责范围或甲方产权范围内公共设施相关的合理</w:t>
      </w:r>
      <w:r>
        <w:rPr>
          <w:rFonts w:hint="eastAsia" w:ascii="仿宋_GB2312" w:hAnsi="仿宋_GB2312" w:eastAsia="仿宋_GB2312" w:cs="仿宋_GB2312"/>
          <w:color w:val="auto"/>
          <w:sz w:val="32"/>
          <w:szCs w:val="32"/>
          <w:lang w:eastAsia="zh-CN"/>
        </w:rPr>
        <w:t>安全生产问题。</w:t>
      </w:r>
    </w:p>
    <w:p w14:paraId="2C234955">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5.加强对乙方的安全生产工作统一协调、管理，明确安全生产协调管理人员，</w:t>
      </w:r>
      <w:r>
        <w:rPr>
          <w:rFonts w:hint="eastAsia" w:ascii="仿宋_GB2312" w:hAnsi="仿宋_GB2312" w:eastAsia="仿宋_GB2312" w:cs="仿宋_GB2312"/>
          <w:color w:val="auto"/>
          <w:sz w:val="32"/>
          <w:szCs w:val="32"/>
          <w:lang w:val="en-US" w:eastAsia="zh-CN"/>
        </w:rPr>
        <w:t>定期</w:t>
      </w:r>
      <w:r>
        <w:rPr>
          <w:rFonts w:hint="eastAsia" w:ascii="仿宋_GB2312" w:hAnsi="仿宋_GB2312" w:eastAsia="仿宋_GB2312" w:cs="仿宋_GB2312"/>
          <w:color w:val="auto"/>
          <w:sz w:val="32"/>
          <w:szCs w:val="32"/>
          <w:lang w:eastAsia="zh-CN"/>
        </w:rPr>
        <w:t>对乙方进行安全生产检查，并如实记录检查情况，发现安全生产问题的，及时督促整改；发现安全生产违法行为的，及时向负有安全生产监督管理职责的部门报告。</w:t>
      </w:r>
      <w:r>
        <w:rPr>
          <w:rFonts w:hint="default" w:ascii="仿宋_GB2312" w:hAnsi="Arial" w:eastAsia="仿宋_GB2312" w:cs="仿宋_GB2312"/>
          <w:snapToGrid w:val="0"/>
          <w:color w:val="000000"/>
          <w:kern w:val="0"/>
          <w:sz w:val="32"/>
          <w:szCs w:val="32"/>
          <w:lang w:val="en-US" w:eastAsia="zh-CN" w:bidi="ar"/>
        </w:rPr>
        <w:t>甲方前述协调、检查、督促整改行为不视为对乙方安全生产工作的确认或认可，不免除乙方任何安全生产主体责任。</w:t>
      </w:r>
    </w:p>
    <w:p w14:paraId="64CC0103">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6.企业入驻前向乙方交清工作环境和水、电、要害部位等安全注意事项。</w:t>
      </w:r>
    </w:p>
    <w:p w14:paraId="0FE02859">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.及时向乙方企业负责人传达上级部门的安全生产工作要求。</w:t>
      </w:r>
    </w:p>
    <w:p w14:paraId="4EDC088F">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二、乙方责任</w:t>
      </w:r>
    </w:p>
    <w:p w14:paraId="50BBB966">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1.乙方应认真执行《中华人民共和国安全生产法》、《</w:t>
      </w:r>
      <w:r>
        <w:rPr>
          <w:rFonts w:hint="eastAsia" w:ascii="仿宋_GB2312" w:hAnsi="仿宋_GB2312" w:eastAsia="仿宋_GB2312" w:cs="仿宋_GB2312"/>
          <w:color w:val="auto"/>
          <w:sz w:val="32"/>
          <w:szCs w:val="32"/>
          <w:lang w:val="en-US" w:eastAsia="zh-CN"/>
        </w:rPr>
        <w:t>江苏</w:t>
      </w:r>
      <w:r>
        <w:rPr>
          <w:rFonts w:hint="eastAsia" w:ascii="仿宋_GB2312" w:hAnsi="仿宋_GB2312" w:eastAsia="仿宋_GB2312" w:cs="仿宋_GB2312"/>
          <w:color w:val="auto"/>
          <w:sz w:val="32"/>
          <w:szCs w:val="32"/>
          <w:lang w:eastAsia="zh-CN"/>
        </w:rPr>
        <w:t>省安全生产条例》、《</w:t>
      </w:r>
      <w:r>
        <w:rPr>
          <w:rFonts w:hint="eastAsia" w:ascii="仿宋_GB2312" w:hAnsi="仿宋_GB2312" w:eastAsia="仿宋_GB2312" w:cs="仿宋_GB2312"/>
          <w:color w:val="auto"/>
          <w:sz w:val="32"/>
          <w:szCs w:val="32"/>
          <w:lang w:val="en-US" w:eastAsia="zh-CN"/>
        </w:rPr>
        <w:t>江苏省</w:t>
      </w:r>
      <w:r>
        <w:rPr>
          <w:rFonts w:hint="eastAsia" w:ascii="仿宋_GB2312" w:hAnsi="仿宋_GB2312" w:eastAsia="仿宋_GB2312" w:cs="仿宋_GB2312"/>
          <w:color w:val="auto"/>
          <w:sz w:val="32"/>
          <w:szCs w:val="32"/>
          <w:lang w:eastAsia="zh-CN"/>
        </w:rPr>
        <w:t>消防条例》、《中华人民共和国消防法》等政府部门的有关规定。</w:t>
      </w:r>
    </w:p>
    <w:p w14:paraId="1C4BA05E">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乙方入驻前要对工作环境及相关设施进行检查和确定，如有问题及时与甲方联系。乙方对租赁用房的内部装修和改动须征得甲方书面同意；严格规范设计、施工、消防等相关行政许可办理备案，装修和改动应符合建筑和消防的有关规定，严禁在消防栓旁和消防通道堵塞堆放杂物。</w:t>
      </w:r>
    </w:p>
    <w:p w14:paraId="15A080C1">
      <w:pPr>
        <w:ind w:firstLine="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3.在租赁</w:t>
      </w:r>
      <w:r>
        <w:rPr>
          <w:rFonts w:hint="eastAsia" w:ascii="仿宋_GB2312" w:hAnsi="仿宋_GB2312" w:eastAsia="仿宋_GB2312" w:cs="仿宋_GB2312"/>
          <w:color w:val="auto"/>
          <w:sz w:val="32"/>
          <w:szCs w:val="32"/>
          <w:lang w:val="en-US" w:eastAsia="zh-CN"/>
        </w:rPr>
        <w:t>场所</w:t>
      </w:r>
      <w:r>
        <w:rPr>
          <w:rFonts w:hint="eastAsia" w:ascii="仿宋_GB2312" w:hAnsi="仿宋_GB2312" w:eastAsia="仿宋_GB2312" w:cs="仿宋_GB2312"/>
          <w:color w:val="auto"/>
          <w:sz w:val="32"/>
          <w:szCs w:val="32"/>
          <w:lang w:eastAsia="zh-CN"/>
        </w:rPr>
        <w:t>范围内承担企业安全生产主体责任，应当服从甲方对其安全生产工作的统一协调、管理，并依法负责本单位安全生产工作；发生生产安全事故时，应当按照有关规定及时报告属地应急管理部门和有关部门，并</w:t>
      </w:r>
      <w:r>
        <w:rPr>
          <w:rFonts w:hint="default" w:ascii="仿宋_GB2312" w:hAnsi="宋体" w:eastAsia="仿宋_GB2312" w:cs="仿宋_GB2312"/>
          <w:snapToGrid w:val="0"/>
          <w:color w:val="000000"/>
          <w:kern w:val="0"/>
          <w:sz w:val="32"/>
          <w:szCs w:val="32"/>
          <w:lang w:val="en-US" w:eastAsia="zh-CN" w:bidi="ar"/>
        </w:rPr>
        <w:t>于事故发生后</w:t>
      </w:r>
      <w:r>
        <w:rPr>
          <w:rFonts w:hint="eastAsia" w:ascii="仿宋_GB2312" w:hAnsi="宋体" w:eastAsia="仿宋_GB2312" w:cs="仿宋_GB2312"/>
          <w:snapToGrid w:val="0"/>
          <w:color w:val="000000"/>
          <w:kern w:val="0"/>
          <w:sz w:val="32"/>
          <w:szCs w:val="32"/>
          <w:lang w:val="en-US" w:eastAsia="zh-CN" w:bidi="ar"/>
        </w:rPr>
        <w:t>3</w:t>
      </w:r>
      <w:r>
        <w:rPr>
          <w:rFonts w:hint="default" w:ascii="仿宋_GB2312" w:hAnsi="宋体" w:eastAsia="仿宋_GB2312" w:cs="仿宋_GB2312"/>
          <w:snapToGrid w:val="0"/>
          <w:color w:val="000000"/>
          <w:kern w:val="0"/>
          <w:sz w:val="32"/>
          <w:szCs w:val="32"/>
          <w:lang w:val="en-US" w:eastAsia="zh-CN" w:bidi="ar"/>
        </w:rPr>
        <w:t>小时内书面</w:t>
      </w:r>
      <w:r>
        <w:rPr>
          <w:rFonts w:hint="eastAsia" w:ascii="仿宋_GB2312" w:hAnsi="仿宋_GB2312" w:eastAsia="仿宋_GB2312" w:cs="仿宋_GB2312"/>
          <w:color w:val="auto"/>
          <w:sz w:val="32"/>
          <w:szCs w:val="32"/>
          <w:lang w:eastAsia="zh-CN"/>
        </w:rPr>
        <w:t>通知甲方。</w:t>
      </w:r>
    </w:p>
    <w:p w14:paraId="11B43338">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4.应承诺符合企业安全生产条件，在使用甲方提供的</w:t>
      </w:r>
      <w:r>
        <w:rPr>
          <w:rFonts w:hint="eastAsia" w:ascii="仿宋_GB2312" w:hAnsi="仿宋_GB2312" w:eastAsia="仿宋_GB2312" w:cs="仿宋_GB2312"/>
          <w:color w:val="auto"/>
          <w:sz w:val="32"/>
          <w:szCs w:val="32"/>
          <w:lang w:val="en-US" w:eastAsia="zh-CN"/>
        </w:rPr>
        <w:t>房屋</w:t>
      </w:r>
      <w:r>
        <w:rPr>
          <w:rFonts w:hint="eastAsia" w:ascii="仿宋_GB2312" w:hAnsi="仿宋_GB2312" w:eastAsia="仿宋_GB2312" w:cs="仿宋_GB2312"/>
          <w:color w:val="auto"/>
          <w:sz w:val="32"/>
          <w:szCs w:val="32"/>
          <w:lang w:eastAsia="zh-CN"/>
        </w:rPr>
        <w:t>与设施期间，应对</w:t>
      </w:r>
      <w:r>
        <w:rPr>
          <w:rFonts w:hint="eastAsia" w:ascii="仿宋_GB2312" w:hAnsi="仿宋_GB2312" w:eastAsia="仿宋_GB2312" w:cs="仿宋_GB2312"/>
          <w:color w:val="auto"/>
          <w:sz w:val="32"/>
          <w:szCs w:val="32"/>
          <w:lang w:val="en-US" w:eastAsia="zh-CN"/>
        </w:rPr>
        <w:t>房屋</w:t>
      </w:r>
      <w:r>
        <w:rPr>
          <w:rFonts w:hint="eastAsia" w:ascii="仿宋_GB2312" w:hAnsi="仿宋_GB2312" w:eastAsia="仿宋_GB2312" w:cs="仿宋_GB2312"/>
          <w:color w:val="auto"/>
          <w:sz w:val="32"/>
          <w:szCs w:val="32"/>
          <w:lang w:eastAsia="zh-CN"/>
        </w:rPr>
        <w:t>与设施做好维护保养工作，不得擅自改变房屋结构和功能、不得超标准使用</w:t>
      </w:r>
      <w:r>
        <w:rPr>
          <w:rFonts w:hint="eastAsia" w:ascii="仿宋_GB2312" w:hAnsi="仿宋_GB2312" w:eastAsia="仿宋_GB2312" w:cs="仿宋_GB2312"/>
          <w:color w:val="auto"/>
          <w:sz w:val="32"/>
          <w:szCs w:val="32"/>
          <w:lang w:val="en-US" w:eastAsia="zh-CN"/>
        </w:rPr>
        <w:t>房屋</w:t>
      </w:r>
      <w:r>
        <w:rPr>
          <w:rFonts w:hint="eastAsia" w:ascii="仿宋_GB2312" w:hAnsi="仿宋_GB2312" w:eastAsia="仿宋_GB2312" w:cs="仿宋_GB2312"/>
          <w:color w:val="auto"/>
          <w:sz w:val="32"/>
          <w:szCs w:val="32"/>
          <w:lang w:eastAsia="zh-CN"/>
        </w:rPr>
        <w:t>，不得使用易燃可燃材料装修装饰，装修装饰不得影响防火、逃生和灭火救援，不得擅自停用报警、喷淋等消防设施。因乙方人为原因造成损坏的，由乙方负责修缮或赔偿。</w:t>
      </w:r>
    </w:p>
    <w:p w14:paraId="4A9776D0">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5.乙方人员不准私自动用、拆卸甲方</w:t>
      </w:r>
      <w:r>
        <w:rPr>
          <w:rFonts w:hint="eastAsia" w:ascii="仿宋_GB2312" w:hAnsi="仿宋_GB2312" w:eastAsia="仿宋_GB2312" w:cs="仿宋_GB2312"/>
          <w:color w:val="auto"/>
          <w:sz w:val="32"/>
          <w:szCs w:val="32"/>
          <w:lang w:val="en-US" w:eastAsia="zh-CN"/>
        </w:rPr>
        <w:t>房屋</w:t>
      </w:r>
      <w:r>
        <w:rPr>
          <w:rFonts w:hint="eastAsia" w:ascii="仿宋_GB2312" w:hAnsi="仿宋_GB2312" w:eastAsia="仿宋_GB2312" w:cs="仿宋_GB2312"/>
          <w:color w:val="auto"/>
          <w:sz w:val="32"/>
          <w:szCs w:val="32"/>
          <w:lang w:eastAsia="zh-CN"/>
        </w:rPr>
        <w:t>原有的安全设施，由于未执行此项规定，造成乙方人员或甲方人员伤害，应承担相应的法律责任。</w:t>
      </w:r>
    </w:p>
    <w:p w14:paraId="18FA64B6">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6.认真贯彻落实国家、省、市、区有关安全生产工作的法律、法规、标准和规范。</w:t>
      </w:r>
    </w:p>
    <w:p w14:paraId="76449CAA">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7.参加甲方召开的关于安全生产方面的会议，并结合实际，认真贯彻落实，并及时完成甲方布置的各项工作。</w:t>
      </w:r>
    </w:p>
    <w:p w14:paraId="190FA1F0">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8.将安全生产工作列入重要议事日程，年度安全目标明确、重点突出，定期召开事故防范工作会议，分析安全生产形势，研究解决安全生产中出现的问题。</w:t>
      </w:r>
    </w:p>
    <w:p w14:paraId="49F7C7E9">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9.按规定设置安全生产管理机构</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lang w:eastAsia="zh-CN"/>
        </w:rPr>
        <w:t>配备专（兼）职安全管理人员，企业主要负责人、安全生产管理人员、岗位员工必须按规定进行培训。</w:t>
      </w:r>
    </w:p>
    <w:p w14:paraId="3BFFED22">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10.建立健全安全生产规章制度和操作规程，建立和完善各类事故应急救援预案，并组织开展应急救援演练。</w:t>
      </w:r>
    </w:p>
    <w:p w14:paraId="2E53FF10">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11.安全生产实行主要负责人第一责任人制，做到安全责任到位、安全投入到位、安全培训到位、安全管理到位、应急救援到位，根据企业实际签订好各级安全生产责任书，执行各级安全生产考核责任制，落实企业安全生产主体责任。</w:t>
      </w:r>
    </w:p>
    <w:p w14:paraId="2EC015C3">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.加大对安全生产资金、物资、技术、人员的投入保障力度，改善安全生产条件。</w:t>
      </w:r>
    </w:p>
    <w:p w14:paraId="20068AED">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.建立安全风险管控清单并持续更新；持续开展隐患排查治理工作，全面排查事故隐患，查出的事故隐患，定人、定责限期整改，确保整改工作到位。</w:t>
      </w:r>
    </w:p>
    <w:p w14:paraId="1FC9DF3C">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.疏散通道、安全出口、消防车通道等必须保持畅通，确保消防安全。</w:t>
      </w:r>
    </w:p>
    <w:p w14:paraId="4C396995">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15.乙方在生产经营过程中产生废水、废气排放的，必须严格遵守国家及地方环境保护法律法规、排放标准与排污许可要求，配套建设并正常运行污染治理设施，确保达标排放；严禁偷排、漏排、超标排放。</w:t>
      </w:r>
    </w:p>
    <w:p w14:paraId="64D8680B">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.乙方</w:t>
      </w:r>
      <w:r>
        <w:rPr>
          <w:rFonts w:hint="eastAsia" w:ascii="仿宋_GB2312" w:hAnsi="仿宋_GB2312" w:eastAsia="仿宋_GB2312" w:cs="仿宋_GB2312"/>
          <w:color w:val="auto"/>
          <w:sz w:val="32"/>
          <w:szCs w:val="32"/>
          <w:lang w:val="en-US" w:eastAsia="zh-CN"/>
        </w:rPr>
        <w:t>需加强</w:t>
      </w:r>
      <w:r>
        <w:rPr>
          <w:rFonts w:hint="eastAsia" w:ascii="仿宋_GB2312" w:hAnsi="仿宋_GB2312" w:eastAsia="仿宋_GB2312" w:cs="仿宋_GB2312"/>
          <w:color w:val="auto"/>
          <w:sz w:val="32"/>
          <w:szCs w:val="32"/>
          <w:lang w:eastAsia="zh-CN"/>
        </w:rPr>
        <w:t>动火作业、有限空间作业、高处作业、吊装作业等危险作业</w:t>
      </w:r>
      <w:r>
        <w:rPr>
          <w:rFonts w:hint="eastAsia" w:ascii="仿宋_GB2312" w:hAnsi="仿宋_GB2312" w:eastAsia="仿宋_GB2312" w:cs="仿宋_GB2312"/>
          <w:color w:val="auto"/>
          <w:sz w:val="32"/>
          <w:szCs w:val="32"/>
          <w:lang w:val="en-US" w:eastAsia="zh-CN"/>
        </w:rPr>
        <w:t>管理</w:t>
      </w:r>
      <w:r>
        <w:rPr>
          <w:rFonts w:hint="eastAsia" w:ascii="仿宋_GB2312" w:hAnsi="仿宋_GB2312" w:eastAsia="仿宋_GB2312" w:cs="仿宋_GB2312"/>
          <w:color w:val="auto"/>
          <w:sz w:val="32"/>
          <w:szCs w:val="32"/>
          <w:lang w:eastAsia="zh-CN"/>
        </w:rPr>
        <w:t>，不得开展违规作业、无证作业。</w:t>
      </w:r>
    </w:p>
    <w:p w14:paraId="41C8FE82">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lang w:eastAsia="zh-CN"/>
        </w:rPr>
        <w:t>.发生安全事故，必须立即启动应急救援预案，采取必要的应急救援措施，并做好现场保护、事故善后处理及整改工作，确保不发生因安全生产事故而引发造成的各类社会不良影响。</w:t>
      </w:r>
    </w:p>
    <w:p w14:paraId="70B47D3E">
      <w:pPr>
        <w:keepNext w:val="0"/>
        <w:keepLines w:val="0"/>
        <w:widowControl/>
        <w:suppressLineNumbers w:val="0"/>
        <w:ind w:firstLine="640" w:firstLineChars="200"/>
        <w:jc w:val="left"/>
      </w:pP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lang w:eastAsia="zh-CN"/>
        </w:rPr>
        <w:t>.</w:t>
      </w:r>
      <w:r>
        <w:rPr>
          <w:rFonts w:hint="default" w:ascii="仿宋_GB2312" w:hAnsi="宋体" w:eastAsia="仿宋_GB2312" w:cs="仿宋_GB2312"/>
          <w:snapToGrid w:val="0"/>
          <w:color w:val="000000"/>
          <w:kern w:val="0"/>
          <w:sz w:val="32"/>
          <w:szCs w:val="32"/>
          <w:lang w:val="en-US" w:eastAsia="zh-CN" w:bidi="ar"/>
        </w:rPr>
        <w:t>乙方在租赁期间因违反安全管理的有关要求或未尽安全生产义务导致发生任何安全事故，造成人员伤亡、财产损失或第三方索赔的，由乙方承担全部责任；因此给甲方、乙方人员及第三方造成损失的，全部由乙方承担赔偿责任。如甲方因前述事故被有权机关要求承担责任或向第三方赔付的，甲方有权就全部支出向乙方全额追偿</w:t>
      </w:r>
    </w:p>
    <w:p w14:paraId="0E4980B4">
      <w:pPr>
        <w:numPr>
          <w:ilvl w:val="0"/>
          <w:numId w:val="1"/>
        </w:num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乙方对本单位所有从业人员进行安全教育和培训，并依法自行管理与检查。</w:t>
      </w:r>
    </w:p>
    <w:p w14:paraId="3A663141">
      <w:pPr>
        <w:numPr>
          <w:ilvl w:val="0"/>
          <w:numId w:val="1"/>
        </w:num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违约责任：若乙方违反本协议项下任何责任、承诺或保证，甲方有权书面通知乙方限期整改；逾期未整改或整改不符合要求的，甲方有权要求乙方支付违约金人民币【</w:t>
      </w:r>
      <w:r>
        <w:rPr>
          <w:rFonts w:hint="eastAsia" w:ascii="仿宋_GB2312" w:hAnsi="仿宋_GB2312" w:eastAsia="仿宋_GB2312" w:cs="仿宋_GB2312"/>
          <w:color w:val="auto"/>
          <w:sz w:val="32"/>
          <w:szCs w:val="32"/>
          <w:lang w:val="en-US" w:eastAsia="zh-CN"/>
        </w:rPr>
        <w:t>5000</w:t>
      </w:r>
      <w:r>
        <w:rPr>
          <w:rFonts w:hint="eastAsia" w:ascii="仿宋_GB2312" w:hAnsi="仿宋_GB2312" w:eastAsia="仿宋_GB2312" w:cs="仿宋_GB2312"/>
          <w:color w:val="auto"/>
          <w:sz w:val="32"/>
          <w:szCs w:val="32"/>
          <w:lang w:eastAsia="zh-CN"/>
        </w:rPr>
        <w:t>】元，并赔偿因此给甲方及任何第三方造成的全部损失；乙方违反本协议约定造成安全事故、政府部门处罚或导致甲方租赁合同目的无法实现的，甲方有权单方解除主租赁合同及相关协议，并要求乙方承担上述违约金及赔偿责任。</w:t>
      </w:r>
    </w:p>
    <w:p w14:paraId="76D0970E">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、甲方或甲方上级专业部门有权随时检查工作现场及《安全协议》落实情况，对事故隐患有权指出并要求责任方及时整改。</w:t>
      </w:r>
    </w:p>
    <w:p w14:paraId="22C66942">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、本协议一式两份，甲乙双方各执一份。</w:t>
      </w:r>
    </w:p>
    <w:p w14:paraId="5D827B09">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、本协议自</w:t>
      </w:r>
      <w:r>
        <w:rPr>
          <w:rFonts w:hint="eastAsia" w:ascii="仿宋_GB2312" w:hAnsi="仿宋_GB2312" w:eastAsia="仿宋_GB2312" w:cs="仿宋_GB2312"/>
          <w:color w:val="auto"/>
          <w:sz w:val="32"/>
          <w:szCs w:val="32"/>
          <w:lang w:val="en-US" w:eastAsia="zh-CN"/>
        </w:rPr>
        <w:t>双方</w:t>
      </w:r>
      <w:r>
        <w:rPr>
          <w:rFonts w:hint="eastAsia" w:ascii="仿宋_GB2312" w:hAnsi="仿宋_GB2312" w:eastAsia="仿宋_GB2312" w:cs="仿宋_GB2312"/>
          <w:color w:val="auto"/>
          <w:sz w:val="32"/>
          <w:szCs w:val="32"/>
          <w:lang w:eastAsia="zh-CN"/>
        </w:rPr>
        <w:t>盖章之日起执行。</w:t>
      </w:r>
    </w:p>
    <w:p w14:paraId="327BFE74">
      <w:pPr>
        <w:ind w:firstLine="640" w:firstLineChars="200"/>
        <w:rPr>
          <w:rFonts w:hint="eastAsia" w:ascii="仿宋_GB2312" w:hAnsi="仿宋_GB2312" w:eastAsia="仿宋_GB2312" w:cs="仿宋_GB2312"/>
          <w:color w:val="auto"/>
          <w:sz w:val="32"/>
          <w:szCs w:val="32"/>
          <w:lang w:eastAsia="zh-CN"/>
        </w:rPr>
      </w:pPr>
    </w:p>
    <w:p w14:paraId="52F411FB">
      <w:pPr>
        <w:ind w:firstLine="640" w:firstLineChars="200"/>
        <w:rPr>
          <w:rFonts w:hint="eastAsia" w:ascii="仿宋_GB2312" w:hAnsi="仿宋_GB2312" w:eastAsia="仿宋_GB2312" w:cs="仿宋_GB2312"/>
          <w:color w:val="auto"/>
          <w:sz w:val="32"/>
          <w:szCs w:val="32"/>
          <w:lang w:eastAsia="zh-CN"/>
        </w:rPr>
      </w:pPr>
    </w:p>
    <w:p w14:paraId="6F99CA11">
      <w:pP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甲方（盖章）：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乙方（盖章）：</w:t>
      </w:r>
    </w:p>
    <w:p w14:paraId="679BF21C">
      <w:pPr>
        <w:rPr>
          <w:rFonts w:hint="eastAsia" w:ascii="仿宋_GB2312" w:hAnsi="仿宋_GB2312" w:eastAsia="仿宋_GB2312" w:cs="仿宋_GB2312"/>
          <w:color w:val="auto"/>
          <w:sz w:val="32"/>
          <w:szCs w:val="32"/>
          <w:lang w:eastAsia="zh-CN"/>
        </w:rPr>
      </w:pPr>
    </w:p>
    <w:p w14:paraId="0598766D">
      <w:pPr>
        <w:rPr>
          <w:rFonts w:hint="eastAsia" w:ascii="仿宋_GB2312" w:hAnsi="仿宋_GB2312" w:eastAsia="仿宋_GB2312" w:cs="仿宋_GB2312"/>
          <w:color w:val="auto"/>
          <w:sz w:val="32"/>
          <w:szCs w:val="32"/>
          <w:lang w:eastAsia="zh-CN"/>
        </w:rPr>
      </w:pPr>
    </w:p>
    <w:p w14:paraId="5C63E6D9">
      <w:pPr>
        <w:rPr>
          <w:rFonts w:hint="eastAsia" w:ascii="仿宋_GB2312" w:hAnsi="仿宋_GB2312" w:eastAsia="仿宋_GB2312" w:cs="仿宋_GB2312"/>
          <w:color w:val="auto"/>
          <w:sz w:val="32"/>
          <w:szCs w:val="32"/>
          <w:lang w:eastAsia="zh-CN"/>
        </w:rPr>
      </w:pPr>
    </w:p>
    <w:p w14:paraId="29DE7DB9">
      <w:pP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年   月   日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年   月   日</w:t>
      </w:r>
    </w:p>
    <w:sectPr>
      <w:pgSz w:w="11906" w:h="16838"/>
      <w:pgMar w:top="1327" w:right="1463" w:bottom="1327" w:left="146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BC9504"/>
    <w:multiLevelType w:val="singleLevel"/>
    <w:tmpl w:val="F7BC9504"/>
    <w:lvl w:ilvl="0" w:tentative="0">
      <w:start w:val="1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EzMDU5Nzg3MWRkODNhOWZmMDYxMTRlYjI4MmZlMDcifQ=="/>
  </w:docVars>
  <w:rsids>
    <w:rsidRoot w:val="001D3A1C"/>
    <w:rsid w:val="00045713"/>
    <w:rsid w:val="000B4B65"/>
    <w:rsid w:val="00126EB1"/>
    <w:rsid w:val="001D3A1C"/>
    <w:rsid w:val="001D3CE0"/>
    <w:rsid w:val="001E3C6C"/>
    <w:rsid w:val="001F6CB8"/>
    <w:rsid w:val="0041552C"/>
    <w:rsid w:val="00450125"/>
    <w:rsid w:val="00453615"/>
    <w:rsid w:val="00573DF8"/>
    <w:rsid w:val="005B491C"/>
    <w:rsid w:val="005B7D96"/>
    <w:rsid w:val="00611F8B"/>
    <w:rsid w:val="00671B2B"/>
    <w:rsid w:val="00731A4A"/>
    <w:rsid w:val="007667CA"/>
    <w:rsid w:val="00784C98"/>
    <w:rsid w:val="00810BB1"/>
    <w:rsid w:val="008A5A14"/>
    <w:rsid w:val="009F20D0"/>
    <w:rsid w:val="00A762D3"/>
    <w:rsid w:val="00A91673"/>
    <w:rsid w:val="00AC016F"/>
    <w:rsid w:val="00BA3BE4"/>
    <w:rsid w:val="00C612BB"/>
    <w:rsid w:val="00CF2AC2"/>
    <w:rsid w:val="00D123D9"/>
    <w:rsid w:val="00DA6B0D"/>
    <w:rsid w:val="00E03DDD"/>
    <w:rsid w:val="00E86013"/>
    <w:rsid w:val="029167E5"/>
    <w:rsid w:val="02DB5DFC"/>
    <w:rsid w:val="0414495A"/>
    <w:rsid w:val="06856661"/>
    <w:rsid w:val="06CD0B7F"/>
    <w:rsid w:val="0919246F"/>
    <w:rsid w:val="09CD3698"/>
    <w:rsid w:val="0CEA583D"/>
    <w:rsid w:val="0F7B00A8"/>
    <w:rsid w:val="17035AAC"/>
    <w:rsid w:val="19487B51"/>
    <w:rsid w:val="21A25EC1"/>
    <w:rsid w:val="21A51BC1"/>
    <w:rsid w:val="22F15352"/>
    <w:rsid w:val="28E658E8"/>
    <w:rsid w:val="2C2809E5"/>
    <w:rsid w:val="2EA94D33"/>
    <w:rsid w:val="34943D90"/>
    <w:rsid w:val="35C44DEE"/>
    <w:rsid w:val="36385371"/>
    <w:rsid w:val="364C4609"/>
    <w:rsid w:val="39311BAD"/>
    <w:rsid w:val="3A4B6C9E"/>
    <w:rsid w:val="3E785F08"/>
    <w:rsid w:val="43AE09CA"/>
    <w:rsid w:val="4A8508D9"/>
    <w:rsid w:val="4FDA66A3"/>
    <w:rsid w:val="4FE94B38"/>
    <w:rsid w:val="512A365A"/>
    <w:rsid w:val="52E141EC"/>
    <w:rsid w:val="55435822"/>
    <w:rsid w:val="57713D91"/>
    <w:rsid w:val="5A0A04CC"/>
    <w:rsid w:val="5BC672C4"/>
    <w:rsid w:val="5BE014E5"/>
    <w:rsid w:val="5D325D70"/>
    <w:rsid w:val="643B19AE"/>
    <w:rsid w:val="64607142"/>
    <w:rsid w:val="64872E45"/>
    <w:rsid w:val="659A2D92"/>
    <w:rsid w:val="665D4CD0"/>
    <w:rsid w:val="66E53E53"/>
    <w:rsid w:val="683D2D8B"/>
    <w:rsid w:val="68B910F3"/>
    <w:rsid w:val="6A123C4F"/>
    <w:rsid w:val="6A794FDE"/>
    <w:rsid w:val="6C517895"/>
    <w:rsid w:val="6E465871"/>
    <w:rsid w:val="70C04FE9"/>
    <w:rsid w:val="7BF65425"/>
    <w:rsid w:val="7C7440E8"/>
    <w:rsid w:val="7C892554"/>
    <w:rsid w:val="7D1110A6"/>
    <w:rsid w:val="FB433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微软雅黑" w:hAnsi="微软雅黑" w:eastAsia="微软雅黑" w:cs="微软雅黑"/>
      <w:sz w:val="26"/>
      <w:szCs w:val="26"/>
    </w:rPr>
  </w:style>
  <w:style w:type="paragraph" w:styleId="3">
    <w:name w:val="Balloon Text"/>
    <w:basedOn w:val="1"/>
    <w:link w:val="9"/>
    <w:qFormat/>
    <w:uiPriority w:val="0"/>
    <w:rPr>
      <w:sz w:val="18"/>
      <w:szCs w:val="18"/>
    </w:rPr>
  </w:style>
  <w:style w:type="paragraph" w:styleId="4">
    <w:name w:val="footer"/>
    <w:basedOn w:val="1"/>
    <w:link w:val="11"/>
    <w:qFormat/>
    <w:uiPriority w:val="0"/>
    <w:pPr>
      <w:tabs>
        <w:tab w:val="center" w:pos="4153"/>
        <w:tab w:val="right" w:pos="8306"/>
      </w:tabs>
    </w:pPr>
    <w:rPr>
      <w:sz w:val="18"/>
      <w:szCs w:val="18"/>
    </w:rPr>
  </w:style>
  <w:style w:type="paragraph" w:styleId="5">
    <w:name w:val="header"/>
    <w:basedOn w:val="1"/>
    <w:link w:val="10"/>
    <w:qFormat/>
    <w:uiPriority w:val="0"/>
    <w:pPr>
      <w:pBdr>
        <w:bottom w:val="single" w:color="auto" w:sz="6" w:space="1"/>
      </w:pBdr>
      <w:tabs>
        <w:tab w:val="center" w:pos="4153"/>
        <w:tab w:val="right" w:pos="8306"/>
      </w:tabs>
      <w:jc w:val="center"/>
    </w:pPr>
    <w:rPr>
      <w:sz w:val="18"/>
      <w:szCs w:val="18"/>
    </w:rPr>
  </w:style>
  <w:style w:type="character" w:styleId="8">
    <w:name w:val="Strong"/>
    <w:basedOn w:val="7"/>
    <w:qFormat/>
    <w:uiPriority w:val="0"/>
    <w:rPr>
      <w:b/>
    </w:rPr>
  </w:style>
  <w:style w:type="character" w:customStyle="1" w:styleId="9">
    <w:name w:val="批注框文本 字符"/>
    <w:basedOn w:val="7"/>
    <w:link w:val="3"/>
    <w:qFormat/>
    <w:uiPriority w:val="0"/>
    <w:rPr>
      <w:rFonts w:ascii="Arial" w:hAnsi="Arial" w:eastAsia="Arial" w:cs="Arial"/>
      <w:snapToGrid w:val="0"/>
      <w:color w:val="000000"/>
      <w:sz w:val="18"/>
      <w:szCs w:val="18"/>
      <w:lang w:eastAsia="en-US"/>
    </w:rPr>
  </w:style>
  <w:style w:type="character" w:customStyle="1" w:styleId="10">
    <w:name w:val="页眉 字符"/>
    <w:basedOn w:val="7"/>
    <w:link w:val="5"/>
    <w:uiPriority w:val="0"/>
    <w:rPr>
      <w:rFonts w:ascii="Arial" w:hAnsi="Arial" w:eastAsia="Arial" w:cs="Arial"/>
      <w:snapToGrid w:val="0"/>
      <w:color w:val="000000"/>
      <w:sz w:val="18"/>
      <w:szCs w:val="18"/>
      <w:lang w:eastAsia="en-US"/>
    </w:rPr>
  </w:style>
  <w:style w:type="character" w:customStyle="1" w:styleId="11">
    <w:name w:val="页脚 字符"/>
    <w:basedOn w:val="7"/>
    <w:link w:val="4"/>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2278</Words>
  <Characters>2322</Characters>
  <Lines>1</Lines>
  <Paragraphs>1</Paragraphs>
  <TotalTime>1</TotalTime>
  <ScaleCrop>false</ScaleCrop>
  <LinksUpToDate>false</LinksUpToDate>
  <CharactersWithSpaces>2393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2024-03-26T16:51:00Z</dcterms:created>
  <dc:creator>电脑</dc:creator>
  <cp:lastModifiedBy>谢大福</cp:lastModifiedBy>
  <cp:lastPrinted>2026-03-20T10:16:00Z</cp:lastPrinted>
  <dcterms:modified xsi:type="dcterms:W3CDTF">2026-07-01T08:40:17Z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FEDDBF3F2ABE445291CFA33964F2A611_12</vt:lpwstr>
  </property>
  <property fmtid="{D5CDD505-2E9C-101B-9397-08002B2CF9AE}" pid="4" name="KSOTemplateDocerSaveRecord">
    <vt:lpwstr>eyJoZGlkIjoiMjk4ZTVlM2JkOTk1NjEzZjAzZGQxZWQ3ODk2YjhkN2EiLCJ1c2VySWQiOiI0NjA3MzE2NDEifQ==</vt:lpwstr>
  </property>
</Properties>
</file>