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仿宋_GB2312" w:eastAsia="仿宋_GB2312" w:cs="仿宋_GB2312"/>
          <w:b/>
          <w:sz w:val="40"/>
          <w:szCs w:val="32"/>
        </w:rPr>
      </w:pPr>
      <w:r>
        <w:rPr>
          <w:rFonts w:hint="eastAsia" w:ascii="仿宋_GB2312" w:hAnsi="仿宋_GB2312" w:eastAsia="仿宋_GB2312" w:cs="仿宋_GB2312"/>
          <w:b/>
          <w:sz w:val="40"/>
          <w:szCs w:val="32"/>
          <w:lang w:val="en-US" w:eastAsia="zh-CN"/>
        </w:rPr>
        <w:t>****</w:t>
      </w:r>
      <w:r>
        <w:rPr>
          <w:rFonts w:hint="eastAsia" w:ascii="仿宋_GB2312" w:hAnsi="仿宋_GB2312" w:eastAsia="仿宋_GB2312" w:cs="仿宋_GB2312"/>
          <w:b/>
          <w:sz w:val="40"/>
          <w:szCs w:val="32"/>
        </w:rPr>
        <w:t>不良债权转让</w:t>
      </w:r>
    </w:p>
    <w:p>
      <w:pPr>
        <w:jc w:val="center"/>
        <w:rPr>
          <w:rFonts w:ascii="仿宋_GB2312" w:hAnsi="仿宋_GB2312" w:eastAsia="仿宋_GB2312" w:cs="仿宋_GB2312"/>
          <w:b/>
          <w:sz w:val="40"/>
          <w:szCs w:val="32"/>
        </w:rPr>
      </w:pPr>
      <w:r>
        <w:rPr>
          <w:rFonts w:hint="eastAsia" w:ascii="仿宋_GB2312" w:hAnsi="仿宋_GB2312" w:eastAsia="仿宋_GB2312" w:cs="仿宋_GB2312"/>
          <w:b/>
          <w:sz w:val="40"/>
          <w:szCs w:val="32"/>
        </w:rPr>
        <w:t>瑕疵披露及特别声明</w:t>
      </w:r>
    </w:p>
    <w:p/>
    <w:p>
      <w:pPr>
        <w:adjustRightInd w:val="0"/>
        <w:snapToGrid w:val="0"/>
        <w:spacing w:line="560" w:lineRule="exact"/>
        <w:ind w:firstLine="540"/>
        <w:rPr>
          <w:rFonts w:ascii="仿宋_GB2312" w:hAnsi="仿宋_GB2312" w:eastAsia="仿宋_GB2312" w:cs="仿宋_GB2312"/>
          <w:sz w:val="32"/>
          <w:szCs w:val="32"/>
        </w:rPr>
      </w:pPr>
      <w:r>
        <w:rPr>
          <w:rFonts w:hint="eastAsia" w:ascii="仿宋_GB2312" w:hAnsi="仿宋_GB2312" w:eastAsia="仿宋_GB2312" w:cs="仿宋_GB2312"/>
          <w:sz w:val="32"/>
          <w:szCs w:val="32"/>
        </w:rPr>
        <w:t>一、瑕疵披露</w:t>
      </w:r>
    </w:p>
    <w:p>
      <w:pPr>
        <w:adjustRightInd w:val="0"/>
        <w:snapToGrid w:val="0"/>
        <w:spacing w:line="560" w:lineRule="exact"/>
        <w:ind w:firstLine="540"/>
        <w:rPr>
          <w:rFonts w:ascii="仿宋_GB2312" w:hAnsi="仿宋_GB2312" w:eastAsia="仿宋_GB2312" w:cs="仿宋_GB2312"/>
          <w:sz w:val="32"/>
          <w:szCs w:val="32"/>
        </w:rPr>
      </w:pPr>
      <w:r>
        <w:rPr>
          <w:rFonts w:hint="eastAsia" w:ascii="仿宋_GB2312" w:hAnsi="仿宋_GB2312" w:eastAsia="仿宋_GB2312" w:cs="仿宋_GB2312"/>
          <w:sz w:val="32"/>
          <w:szCs w:val="32"/>
        </w:rPr>
        <w:t>截至基准日，标的资产可能存在的瑕疵包括但不限于：债权金额不准确或债权无效、抵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押等担保措施无效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主债权或从权利存在限制转让约定</w:t>
      </w:r>
      <w:r>
        <w:rPr>
          <w:rFonts w:hint="eastAsia" w:ascii="仿宋_GB2312" w:hAnsi="仿宋_GB2312" w:eastAsia="仿宋_GB2312" w:cs="仿宋_GB2312"/>
          <w:sz w:val="32"/>
          <w:szCs w:val="32"/>
        </w:rPr>
        <w:t>、债务人或担保人主体资格存在瑕疵、债权已超过诉讼时效等。竞买人应自行了解标的债权的效力及诉讼时效，以及抵押物的现状、使用情况及有无其他瑕疵等。</w:t>
      </w:r>
    </w:p>
    <w:p>
      <w:pPr>
        <w:pStyle w:val="4"/>
        <w:snapToGrid w:val="0"/>
        <w:spacing w:before="50" w:line="560" w:lineRule="exact"/>
        <w:ind w:firstLine="627" w:firstLineChars="196"/>
        <w:rPr>
          <w:rFonts w:ascii="仿宋_GB2312" w:hAnsi="仿宋_GB2312" w:eastAsia="仿宋_GB2312" w:cs="仿宋_GB2312"/>
          <w:sz w:val="32"/>
          <w:szCs w:val="32"/>
        </w:rPr>
      </w:pPr>
      <w:r>
        <w:rPr>
          <w:rFonts w:hint="eastAsia" w:ascii="仿宋_GB2312" w:hAnsi="仿宋_GB2312" w:eastAsia="仿宋_GB2312" w:cs="仿宋_GB2312"/>
          <w:sz w:val="32"/>
          <w:szCs w:val="32"/>
        </w:rPr>
        <w:t>二、特别声明：</w:t>
      </w:r>
    </w:p>
    <w:p>
      <w:pPr>
        <w:pStyle w:val="4"/>
        <w:snapToGrid w:val="0"/>
        <w:spacing w:before="5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1、上述债权如设定担保的，与主债权同时转让。上述主债权及相应的从权利均按现状转让。</w:t>
      </w:r>
    </w:p>
    <w:p>
      <w:pPr>
        <w:pStyle w:val="4"/>
        <w:snapToGrid w:val="0"/>
        <w:spacing w:before="5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2、以上债权信息可能与实际情况存在出入，仅供竞买人参考，资产状况以目前实际情况为准，竞买人应自行了解并承担投资风险。</w:t>
      </w:r>
    </w:p>
    <w:p>
      <w:pPr>
        <w:pStyle w:val="2"/>
        <w:spacing w:before="156" w:beforeLines="5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3、竞买人确认已被告知并完全理解，受让标的债权后，对该标的债权产生的利息、罚息、复利的请求权，可能无法继续享有。</w:t>
      </w:r>
    </w:p>
    <w:p>
      <w:pPr>
        <w:pStyle w:val="2"/>
        <w:spacing w:before="156" w:beforeLines="5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4、竞买人确认已被告知并完全理解，受让标的债权后，可能无法享有转让方所享有的国家法律政策规定的各项优惠条件和特殊保护，包括但不限于税收和诉讼方面的优惠和特殊保护。</w:t>
      </w:r>
    </w:p>
    <w:p>
      <w:pPr>
        <w:pStyle w:val="2"/>
        <w:spacing w:before="156" w:beforeLines="5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5、竞买人确认已被告知并完全理解，转让方转让的标的债权，可能存在着瑕疵或尚未发现的缺陷，以至于竞买人预期利益无法实现。受让的标的债权可能存在的瑕疵或缺陷包括但不限于下列一项或多项：</w:t>
      </w:r>
    </w:p>
    <w:p>
      <w:pPr>
        <w:snapToGrid w:val="0"/>
        <w:spacing w:line="560" w:lineRule="exact"/>
        <w:ind w:right="-86" w:rightChars="-4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a.与标的债权相关的债务人和/或担保人和/或第三方可能存在破产、被解散、被注销、被撤销、被关闭、被吊销、歇业、下落不明以及其他主体存续性瑕疵的情形；</w:t>
      </w:r>
    </w:p>
    <w:p>
      <w:pPr>
        <w:snapToGrid w:val="0"/>
        <w:spacing w:line="560" w:lineRule="exact"/>
        <w:ind w:right="-86" w:rightChars="-4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b.标的债权可能存在已超过诉讼时效、丧失相关的法定期间、因其他原因已部分消灭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约定有限制转让条款</w:t>
      </w:r>
      <w:r>
        <w:rPr>
          <w:rFonts w:hint="eastAsia" w:ascii="仿宋_GB2312" w:hAnsi="仿宋_GB2312" w:eastAsia="仿宋_GB2312" w:cs="仿宋_GB2312"/>
          <w:sz w:val="32"/>
          <w:szCs w:val="32"/>
        </w:rPr>
        <w:t>或不能被强制执行的情形；</w:t>
      </w:r>
    </w:p>
    <w:p>
      <w:pPr>
        <w:snapToGrid w:val="0"/>
        <w:spacing w:line="560" w:lineRule="exact"/>
        <w:ind w:right="-86" w:rightChars="-4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c.标的债权可能存在未生效、无效或被撤销的情形；</w:t>
      </w:r>
    </w:p>
    <w:p>
      <w:pPr>
        <w:snapToGrid w:val="0"/>
        <w:spacing w:line="560" w:lineRule="exact"/>
        <w:ind w:right="-86" w:rightChars="-4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d.标的债权文件对于标的债权的行使可能存在不完整、原件缺失或内容冲突等相关情形；</w:t>
      </w:r>
    </w:p>
    <w:p>
      <w:pPr>
        <w:snapToGrid w:val="0"/>
        <w:spacing w:line="560" w:lineRule="exact"/>
        <w:ind w:right="-86" w:rightChars="-4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e.担保合同可能存在约定</w:t>
      </w:r>
      <w:r>
        <w:rPr>
          <w:rFonts w:hint="eastAsia" w:ascii="仿宋_GB2312" w:hAnsi="仿宋_GB2312" w:eastAsia="仿宋_GB2312" w:cs="仿宋_GB2312"/>
          <w:sz w:val="32"/>
          <w:szCs w:val="32"/>
          <w:lang w:val="en-US" w:eastAsia="zh-CN"/>
        </w:rPr>
        <w:t>主债权转让未经主债务人同意不可转让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主债权未经担保人同意不可转让或担保人只对特定债权人承担担保责任的情形；</w:t>
      </w:r>
    </w:p>
    <w:p>
      <w:pPr>
        <w:snapToGrid w:val="0"/>
        <w:spacing w:line="560" w:lineRule="exact"/>
        <w:ind w:right="-86" w:rightChars="-4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f.担保物可能发生灭失、毁损或可能存在欠缴税费、无相关权属证明、无法办理权属变更手续、不能实际占有、丧失使用价值或其他减损担保物、抵债资产价值的相关情形；</w:t>
      </w:r>
    </w:p>
    <w:p>
      <w:pPr>
        <w:snapToGrid w:val="0"/>
        <w:spacing w:line="560" w:lineRule="exact"/>
        <w:ind w:right="-86" w:rightChars="-4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g.涉诉标的债权可能存在败诉、不能变更诉讼主体、执行主体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破产申报主体</w:t>
      </w:r>
      <w:r>
        <w:rPr>
          <w:rFonts w:hint="eastAsia" w:ascii="仿宋_GB2312" w:hAnsi="仿宋_GB2312" w:eastAsia="仿宋_GB2312" w:cs="仿宋_GB2312"/>
          <w:sz w:val="32"/>
          <w:szCs w:val="32"/>
        </w:rPr>
        <w:t>等诉讼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风险；</w:t>
      </w:r>
    </w:p>
    <w:p>
      <w:pPr>
        <w:snapToGrid w:val="0"/>
        <w:spacing w:line="560" w:lineRule="exact"/>
        <w:ind w:right="-86" w:rightChars="-4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h.标的债权的担保物权因担保物灭失而消灭，且没有代位物或其他物上代位权可行使的；</w:t>
      </w:r>
    </w:p>
    <w:p>
      <w:pPr>
        <w:snapToGrid w:val="0"/>
        <w:spacing w:line="560" w:lineRule="exact"/>
        <w:ind w:right="-86" w:rightChars="-4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i.标的债权的抵押/质押担保应办理登记而未办理登记，抵押/质押合同实际未生效；或抵押/质押已为第三人善意取得；或抵债资产无法过户；</w:t>
      </w:r>
    </w:p>
    <w:p>
      <w:pPr>
        <w:snapToGrid w:val="0"/>
        <w:spacing w:line="560" w:lineRule="exact"/>
        <w:ind w:right="-86" w:rightChars="-4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j.其他标的债权及其从权利的瑕疵或重大缺陷；</w:t>
      </w:r>
    </w:p>
    <w:p>
      <w:pPr>
        <w:pStyle w:val="4"/>
        <w:snapToGrid w:val="0"/>
        <w:spacing w:before="5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6、竞买人确认已被告知并完全理解，其受让的标的债权，可能因存在计算误差或其他原因，从而导致实际接收的债权金额与本竞价文件及成交后签署的《债权转让协议》等文件中所列债权金额不完全一致。</w:t>
      </w:r>
    </w:p>
    <w:p>
      <w:pPr>
        <w:pStyle w:val="4"/>
        <w:snapToGrid w:val="0"/>
        <w:spacing w:before="5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7、竞买人确认已被告知并完全理解，其受让标的债权后不得向国家机关、政府部门追偿。</w:t>
      </w:r>
    </w:p>
    <w:p>
      <w:pPr>
        <w:pStyle w:val="4"/>
        <w:snapToGrid w:val="0"/>
        <w:spacing w:before="5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竞买人确认已被告知并完全理解，《债权转让协议》一经签署，买受人即放弃基于该协议项下标的债权的任何瑕疵，以误解、显失公平、欺诈、重大误解或其他任何理由主张变更、撤销《债权转让协议》或申请其无效或部分无效的权利。</w:t>
      </w:r>
    </w:p>
    <w:p>
      <w:pPr>
        <w:pStyle w:val="4"/>
        <w:snapToGrid w:val="0"/>
        <w:spacing w:before="5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在挂牌期间以及成交后至债权转让日期间，拟转让债权产生的新的瑕疵和风险，一并由竞买人无条件承受或承担。竞买人不得以拟转让债权在挂牌期间及竞价成交后至债权转让日期间产生了新的瑕疵和风险为由，拒绝支付债权转让价款或要求调减债权转让价款。</w:t>
      </w:r>
    </w:p>
    <w:p>
      <w:pPr>
        <w:pStyle w:val="4"/>
        <w:snapToGrid w:val="0"/>
        <w:spacing w:before="5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长城公司收购债权时的转让通知只通知了债务人及保证人，根据诉讼时效司法解释，在被通知义务人下落不明的情况下，公告通知才发生通知效力，且公告列示的该户债权担保人不包括债务人作为抵押人及质押人的担保人身份，存在一定的行权风险。</w:t>
      </w:r>
    </w:p>
    <w:p>
      <w:pPr>
        <w:pStyle w:val="4"/>
        <w:snapToGrid w:val="0"/>
        <w:spacing w:before="5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11、债务人、保证人被</w:t>
      </w:r>
      <w:r>
        <w:rPr>
          <w:rFonts w:hint="eastAsia" w:ascii="仿宋_GB2312" w:hAnsi="仿宋_GB2312" w:eastAsia="仿宋_GB2312" w:cs="仿宋_GB2312"/>
          <w:sz w:val="32"/>
          <w:szCs w:val="32"/>
          <w:lang w:val="en-US" w:eastAsia="zh-CN"/>
        </w:rPr>
        <w:t>司法强制</w:t>
      </w:r>
      <w:r>
        <w:rPr>
          <w:rFonts w:hint="eastAsia" w:ascii="仿宋_GB2312" w:hAnsi="仿宋_GB2312" w:eastAsia="仿宋_GB2312" w:cs="仿宋_GB2312"/>
          <w:sz w:val="32"/>
          <w:szCs w:val="32"/>
        </w:rPr>
        <w:t>执行情况较多，债务繁重，其偿还债务能力存在较大不确定性。</w:t>
      </w:r>
    </w:p>
    <w:p>
      <w:pPr>
        <w:pStyle w:val="4"/>
        <w:snapToGrid w:val="0"/>
        <w:spacing w:before="5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12、买受人在参与竞价前要对我方转让的债权进行详尽调查，不得以债权存在瑕疵为由主张解除合同。</w:t>
      </w:r>
    </w:p>
    <w:p>
      <w:pPr>
        <w:pStyle w:val="4"/>
        <w:snapToGrid w:val="0"/>
        <w:spacing w:before="5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13、竞买人确认已被告知、仔细阅读并完全理解本竞价文件及其附件揭示的风险，除《债权转让协议》另有约定外，自愿承担由上述风险造成的一切损失以及不能获得相应预期利益的后果。</w:t>
      </w:r>
    </w:p>
    <w:p>
      <w:pPr>
        <w:pStyle w:val="4"/>
        <w:snapToGrid w:val="0"/>
        <w:spacing w:before="50" w:line="560" w:lineRule="exact"/>
        <w:ind w:firstLine="640" w:firstLineChars="200"/>
        <w:rPr>
          <w:rFonts w:ascii="仿宋_GB2312" w:hAnsi="仿宋_GB2312" w:eastAsia="仿宋_GB2312" w:cs="仿宋_GB2312"/>
          <w:sz w:val="32"/>
          <w:szCs w:val="32"/>
        </w:rPr>
      </w:pPr>
    </w:p>
    <w:p>
      <w:pPr>
        <w:pStyle w:val="4"/>
        <w:snapToGrid w:val="0"/>
        <w:spacing w:before="50"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竞买人：</w:t>
      </w:r>
    </w:p>
    <w:p>
      <w:pPr>
        <w:spacing w:line="560" w:lineRule="exact"/>
        <w:ind w:firstLine="450"/>
        <w:jc w:val="right"/>
        <w:rPr>
          <w:rFonts w:hint="eastAsia" w:ascii="仿宋_GB2312" w:hAnsi="仿宋_GB2312" w:eastAsia="仿宋_GB2312" w:cs="仿宋_GB2312"/>
          <w:sz w:val="32"/>
          <w:szCs w:val="32"/>
        </w:rPr>
      </w:pPr>
    </w:p>
    <w:p>
      <w:pPr>
        <w:spacing w:line="560" w:lineRule="exact"/>
        <w:ind w:firstLine="450"/>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6285BF800000DD9F" w:val=" "/>
    <w:docVar w:name="63897D3A000007C6" w:val=" "/>
    <w:docVar w:name="655AC54300004DEE" w:val=" "/>
    <w:docVar w:name="655D8805000014B8" w:val=" "/>
    <w:docVar w:name="commondata" w:val="eyJoZGlkIjoiM2EwNDdkYjBkNzdlZWQzZmVhZmMyNmQyYzBlNzFjM2QifQ=="/>
  </w:docVars>
  <w:rsids>
    <w:rsidRoot w:val="0C415F61"/>
    <w:rsid w:val="00061B85"/>
    <w:rsid w:val="0006702F"/>
    <w:rsid w:val="0034246F"/>
    <w:rsid w:val="003A5E5B"/>
    <w:rsid w:val="007D72B2"/>
    <w:rsid w:val="00AC4EE3"/>
    <w:rsid w:val="00BB7281"/>
    <w:rsid w:val="00DC2BB4"/>
    <w:rsid w:val="00F83CC1"/>
    <w:rsid w:val="0AA65F58"/>
    <w:rsid w:val="0B8B2E91"/>
    <w:rsid w:val="0BDB4AB4"/>
    <w:rsid w:val="0C415F61"/>
    <w:rsid w:val="0D4F03A6"/>
    <w:rsid w:val="1CD94B7E"/>
    <w:rsid w:val="1D1B0540"/>
    <w:rsid w:val="25764AA2"/>
    <w:rsid w:val="265C57AE"/>
    <w:rsid w:val="2A0A4B00"/>
    <w:rsid w:val="2D927A49"/>
    <w:rsid w:val="33AD283C"/>
    <w:rsid w:val="34EC3BFA"/>
    <w:rsid w:val="3998364D"/>
    <w:rsid w:val="3FDD5A55"/>
    <w:rsid w:val="41681A42"/>
    <w:rsid w:val="419F1F77"/>
    <w:rsid w:val="48703F60"/>
    <w:rsid w:val="48D86BC5"/>
    <w:rsid w:val="4CFD3739"/>
    <w:rsid w:val="4F804787"/>
    <w:rsid w:val="54916AA2"/>
    <w:rsid w:val="58313BC2"/>
    <w:rsid w:val="5AB43AA0"/>
    <w:rsid w:val="6403034F"/>
    <w:rsid w:val="65C04599"/>
    <w:rsid w:val="68004F1D"/>
    <w:rsid w:val="6AE37272"/>
    <w:rsid w:val="6CE879A5"/>
    <w:rsid w:val="6CF53AA3"/>
    <w:rsid w:val="6F6C1F68"/>
    <w:rsid w:val="78FA3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sz w:val="28"/>
    </w:rPr>
  </w:style>
  <w:style w:type="paragraph" w:styleId="4">
    <w:name w:val="Plain Text"/>
    <w:basedOn w:val="1"/>
    <w:qFormat/>
    <w:uiPriority w:val="0"/>
    <w:rPr>
      <w:rFonts w:ascii="宋体" w:hAnsi="Courier New" w:cs="Courier New"/>
      <w:szCs w:val="21"/>
    </w:rPr>
  </w:style>
  <w:style w:type="paragraph" w:styleId="5">
    <w:name w:val="Balloon Text"/>
    <w:basedOn w:val="1"/>
    <w:link w:val="12"/>
    <w:qFormat/>
    <w:uiPriority w:val="0"/>
    <w:rPr>
      <w:sz w:val="18"/>
      <w:szCs w:val="18"/>
    </w:r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0"/>
    <w:rPr>
      <w:rFonts w:asciiTheme="minorHAnsi" w:hAnsiTheme="minorHAnsi" w:eastAsiaTheme="minorEastAsia" w:cstheme="minorBidi"/>
      <w:kern w:val="2"/>
      <w:sz w:val="18"/>
      <w:szCs w:val="18"/>
    </w:rPr>
  </w:style>
  <w:style w:type="character" w:customStyle="1" w:styleId="11">
    <w:name w:val="页脚 Char"/>
    <w:basedOn w:val="9"/>
    <w:link w:val="6"/>
    <w:qFormat/>
    <w:uiPriority w:val="0"/>
    <w:rPr>
      <w:rFonts w:asciiTheme="minorHAnsi" w:hAnsiTheme="minorHAnsi" w:eastAsiaTheme="minorEastAsia" w:cstheme="minorBidi"/>
      <w:kern w:val="2"/>
      <w:sz w:val="18"/>
      <w:szCs w:val="18"/>
    </w:rPr>
  </w:style>
  <w:style w:type="character" w:customStyle="1" w:styleId="12">
    <w:name w:val="批注框文本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254</Words>
  <Characters>1452</Characters>
  <Lines>12</Lines>
  <Paragraphs>3</Paragraphs>
  <TotalTime>17</TotalTime>
  <ScaleCrop>false</ScaleCrop>
  <LinksUpToDate>false</LinksUpToDate>
  <CharactersWithSpaces>1703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2019-12-12T03:09:00Z</dcterms:created>
  <dc:creator>韩伟华</dc:creator>
  <cp:lastModifiedBy>杨志梅</cp:lastModifiedBy>
  <dcterms:modified xsi:type="dcterms:W3CDTF">2024-04-19T03:54:54Z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FF14ABE3DEF84C20AFECEA3F60E8E790</vt:lpwstr>
  </property>
</Properties>
</file>