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381F9">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baseline"/>
        <w:outlineLvl w:val="0"/>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三、研究废旧波形护栏及附属配件报废相关事宜</w:t>
      </w:r>
    </w:p>
    <w:p w14:paraId="3EC2F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会议听取工程养护部关于废旧波形护栏及附属配件报废相关事宜的汇报，经党委会研究，同意根据秦巴公司《固</w:t>
      </w:r>
      <w:bookmarkStart w:id="0" w:name="_GoBack"/>
      <w:bookmarkEnd w:id="0"/>
      <w:r>
        <w:rPr>
          <w:rFonts w:hint="eastAsia" w:ascii="Times New Roman" w:hAnsi="Times New Roman" w:eastAsia="仿宋_GB2312" w:cs="Times New Roman"/>
          <w:kern w:val="0"/>
          <w:sz w:val="32"/>
          <w:szCs w:val="32"/>
          <w:lang w:val="en-US" w:eastAsia="zh-CN" w:bidi="ar-SA"/>
        </w:rPr>
        <w:t>定资产管理办法（试行）》工作要求，将该批废旧波形护栏及附属配件做报废处置，明确今后每半年处置一次，具体事宜由总经理办公会审议。</w:t>
      </w:r>
    </w:p>
    <w:p w14:paraId="2822A9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公司应到党委委员5人，实到党委委员5人，经无记名投票表决，一致同意（全票通过）。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94171"/>
    <w:rsid w:val="12794171"/>
    <w:rsid w:val="5254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2025-11-20T01:32:00Z</dcterms:created>
  <dc:creator>微信用户</dc:creator>
  <cp:lastModifiedBy>微信用户</cp:lastModifiedBy>
  <dcterms:modified xsi:type="dcterms:W3CDTF">2025-11-20T01:33:43Z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BBABF6F7E23E4277956E5B6B6390AA48_11</vt:lpwstr>
  </property>
  <property fmtid="{D5CDD505-2E9C-101B-9397-08002B2CF9AE}" pid="4" name="KSOTemplateDocerSaveRecord">
    <vt:lpwstr>eyJoZGlkIjoiOWE2N2M2MGExYjZlYTNjNjE1NzY3NzUzYTE2Mzg5Y2IiLCJ1c2VySWQiOiIxMjQwMzAzODk3In0=</vt:lpwstr>
  </property>
</Properties>
</file>