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3F678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室外篮球场地招租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要求</w:t>
      </w:r>
    </w:p>
    <w:p w14:paraId="15CF66FF">
      <w:pPr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2FD67F6">
      <w:pP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1、将现有的室外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两片篮球场改造为两片网球场、一片匹克球场，总面积1500平方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 w14:paraId="7EEAB978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地面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改造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：在混凝土基础上，做沥青颗粒，然后做高弹中速丙烯酸系统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符合国内专业比赛级别；</w:t>
      </w:r>
    </w:p>
    <w:p w14:paraId="131C71D8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灯光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改造：加装灯光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系统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达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专业网球比赛级别，采用整体式PC透镜，防眩光功能设计；</w:t>
      </w:r>
    </w:p>
    <w:p w14:paraId="187A2684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4、需新增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架空电动棚两套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采用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钢立柱，高强阻燃夹网刀刮布；</w:t>
      </w:r>
    </w:p>
    <w:p w14:paraId="365A8366"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以上要求产生的所有费用由承租方自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行承担！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511B19"/>
    <w:rsid w:val="3A2B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2025-06-16T09:08:11Z</dcterms:created>
  <dc:creator>admin</dc:creator>
  <cp:lastModifiedBy>张海鹏</cp:lastModifiedBy>
  <dcterms:modified xsi:type="dcterms:W3CDTF">2025-06-16T09:19:06Z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eyJoZGlkIjoiMGY2ODFhNGNlMmE1MTEzYWJmN2U2ZGU4NWY2NzU4OWQiLCJ1c2VySWQiOiIxNjY3MDEzMjA0In0=</vt:lpwstr>
  </property>
  <property fmtid="{D5CDD505-2E9C-101B-9397-08002B2CF9AE}" pid="4" name="ICV">
    <vt:lpwstr>6E8837242A964EED82B499370FB58C27_12</vt:lpwstr>
  </property>
</Properties>
</file>