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80" w:firstLineChars="200"/>
        <w:rPr>
          <w:rFonts w:ascii="宋体" w:hAnsi="宋体" w:eastAsia="宋体" w:cs="Times New Roman"/>
          <w:sz w:val="24"/>
          <w:szCs w:val="24"/>
        </w:rPr>
      </w:pPr>
    </w:p>
    <w:p>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pPr>
        <w:spacing w:line="360" w:lineRule="auto"/>
        <w:ind w:left="1259" w:hanging="480"/>
        <w:jc w:val="center"/>
        <w:rPr>
          <w:rFonts w:ascii="宋体" w:hAnsi="宋体" w:eastAsia="宋体" w:cs="Times New Roman"/>
          <w:b/>
          <w:sz w:val="24"/>
          <w:szCs w:val="24"/>
        </w:rPr>
      </w:pPr>
      <w:bookmarkStart w:id="43" w:name="_GoBack"/>
      <w:bookmarkEnd w:id="43"/>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rPr>
          <w:rFonts w:ascii="宋体" w:hAnsi="宋体" w:eastAsia="宋体" w:cs="Times New Roman"/>
          <w:b/>
          <w:sz w:val="24"/>
          <w:szCs w:val="24"/>
        </w:rPr>
      </w:pPr>
    </w:p>
    <w:p>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年  </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 月  </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 日</w:t>
      </w:r>
    </w:p>
    <w:p>
      <w:pPr>
        <w:spacing w:line="360" w:lineRule="auto"/>
        <w:rPr>
          <w:rFonts w:ascii="宋体" w:hAnsi="宋体" w:eastAsia="宋体" w:cs="Times New Roman"/>
          <w:b/>
          <w:bCs/>
          <w:sz w:val="24"/>
          <w:szCs w:val="24"/>
        </w:rPr>
      </w:pPr>
    </w:p>
    <w:p>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14</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pPr>
        <w:widowControl/>
        <w:jc w:val="left"/>
        <w:rPr>
          <w:rFonts w:ascii="宋体" w:hAnsi="宋体" w:eastAsia="宋体" w:cs="Times New Roman"/>
          <w:b/>
          <w:spacing w:val="20"/>
          <w:sz w:val="24"/>
          <w:szCs w:val="24"/>
        </w:rPr>
      </w:pPr>
    </w:p>
    <w:p>
      <w:pPr>
        <w:spacing w:line="360" w:lineRule="auto"/>
        <w:ind w:left="1341" w:hanging="562"/>
        <w:rPr>
          <w:rFonts w:ascii="宋体" w:hAnsi="宋体" w:eastAsia="宋体" w:cs="Times New Roman"/>
          <w:b/>
          <w:spacing w:val="20"/>
          <w:sz w:val="24"/>
          <w:szCs w:val="24"/>
        </w:rPr>
      </w:pPr>
      <w:r>
        <w:rPr>
          <w:rFonts w:ascii="宋体" w:hAnsi="宋体" w:eastAsia="宋体" w:cs="Times New Roman"/>
          <w:b/>
          <w:spacing w:val="20"/>
          <w:sz w:val="24"/>
          <w:szCs w:val="24"/>
        </w:rPr>
        <w:t>出租方（以下称甲方）：</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p>
    <w:p>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pPr>
        <w:spacing w:line="360" w:lineRule="auto"/>
        <w:ind w:left="1339" w:hanging="560"/>
        <w:rPr>
          <w:rFonts w:ascii="宋体" w:hAnsi="宋体" w:eastAsia="宋体" w:cs="Times New Roman"/>
          <w:spacing w:val="20"/>
          <w:sz w:val="24"/>
          <w:szCs w:val="24"/>
        </w:rPr>
      </w:pPr>
    </w:p>
    <w:p>
      <w:pPr>
        <w:spacing w:line="360" w:lineRule="auto"/>
        <w:ind w:left="1339" w:hanging="560"/>
        <w:rPr>
          <w:rFonts w:ascii="宋体" w:hAnsi="宋体" w:eastAsia="宋体" w:cs="Times New Roman"/>
          <w:spacing w:val="20"/>
          <w:sz w:val="24"/>
          <w:szCs w:val="24"/>
        </w:rPr>
      </w:pPr>
    </w:p>
    <w:p>
      <w:pPr>
        <w:spacing w:line="360" w:lineRule="auto"/>
        <w:ind w:left="1341" w:hanging="562"/>
        <w:rPr>
          <w:rFonts w:ascii="宋体" w:hAnsi="宋体" w:eastAsia="宋体" w:cs="Times New Roman"/>
          <w:b/>
          <w:spacing w:val="20"/>
          <w:sz w:val="24"/>
          <w:szCs w:val="24"/>
          <w:u w:val="single"/>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 xml:space="preserve"> </w:t>
      </w:r>
      <w:r>
        <w:rPr>
          <w:rFonts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pPr>
        <w:spacing w:line="360" w:lineRule="auto"/>
        <w:ind w:left="1339" w:hanging="560"/>
        <w:rPr>
          <w:rFonts w:ascii="宋体" w:hAnsi="宋体" w:eastAsia="宋体" w:cs="Times New Roman"/>
          <w:sz w:val="24"/>
          <w:szCs w:val="24"/>
        </w:rPr>
      </w:pPr>
    </w:p>
    <w:p>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pPr>
        <w:spacing w:line="360" w:lineRule="auto"/>
        <w:rPr>
          <w:rFonts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常州 </w:t>
      </w:r>
      <w:r>
        <w:rPr>
          <w:rFonts w:hint="eastAsia" w:ascii="宋体" w:hAnsi="宋体" w:eastAsia="宋体" w:cs="Times New Roman"/>
          <w:sz w:val="24"/>
          <w:szCs w:val="24"/>
        </w:rPr>
        <w:t>市</w:t>
      </w:r>
      <w:r>
        <w:rPr>
          <w:rFonts w:hint="eastAsia" w:ascii="宋体" w:hAnsi="宋体" w:eastAsia="宋体" w:cs="Times New Roman"/>
          <w:sz w:val="24"/>
          <w:szCs w:val="24"/>
          <w:u w:val="single"/>
        </w:rPr>
        <w:t xml:space="preserve">       的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室房屋按该租赁物业现状出租给乙方。双方确认，该租赁物业的建筑面积为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pPr>
        <w:spacing w:line="360" w:lineRule="auto"/>
        <w:rPr>
          <w:rFonts w:ascii="宋体" w:hAnsi="宋体" w:eastAsia="宋体" w:cs="Times New Roman"/>
          <w:sz w:val="24"/>
          <w:szCs w:val="24"/>
        </w:rPr>
      </w:pPr>
      <w:r>
        <w:rPr>
          <w:rFonts w:hint="eastAsia" w:ascii="宋体" w:hAnsi="宋体" w:eastAsia="宋体" w:cs="Times New Roman"/>
          <w:sz w:val="24"/>
          <w:szCs w:val="24"/>
        </w:rPr>
        <w:t>2.1 租赁期限：乙方承租房屋的租期（含装修期）共计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月，自</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日起至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日止，其中装修期为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日，装修期内乙方应按照与甲方物业管理部门签订的</w:t>
      </w:r>
      <w:r>
        <w:rPr>
          <w:rFonts w:ascii="宋体" w:hAnsi="宋体" w:eastAsia="宋体" w:cs="Times New Roman"/>
          <w:sz w:val="24"/>
          <w:szCs w:val="24"/>
        </w:rPr>
        <w:t>《</w:t>
      </w:r>
      <w:r>
        <w:rPr>
          <w:rFonts w:hint="eastAsia" w:ascii="宋体" w:hAnsi="宋体" w:eastAsia="宋体" w:cs="Times New Roman"/>
          <w:sz w:val="24"/>
          <w:szCs w:val="24"/>
        </w:rPr>
        <w:t>物业管理服务合同</w:t>
      </w:r>
      <w:r>
        <w:rPr>
          <w:rFonts w:ascii="宋体" w:hAnsi="宋体" w:eastAsia="宋体" w:cs="Times New Roman"/>
          <w:sz w:val="24"/>
          <w:szCs w:val="24"/>
        </w:rPr>
        <w:t>》</w:t>
      </w:r>
      <w:r>
        <w:rPr>
          <w:rFonts w:hint="eastAsia" w:ascii="宋体" w:hAnsi="宋体" w:eastAsia="宋体" w:cs="Times New Roman"/>
          <w:sz w:val="24"/>
          <w:szCs w:val="24"/>
        </w:rPr>
        <w:t>的约定交纳装修期物业综合费及其他相关费用。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42611229"/>
      <w:bookmarkStart w:id="3" w:name="_Toc29824928"/>
      <w:bookmarkStart w:id="4" w:name="_Toc29563015"/>
      <w:r>
        <w:rPr>
          <w:rFonts w:hint="eastAsia" w:ascii="宋体" w:hAnsi="宋体" w:eastAsia="宋体" w:cs="Times New Roman"/>
          <w:b/>
          <w:bCs/>
          <w:sz w:val="24"/>
          <w:szCs w:val="24"/>
        </w:rPr>
        <w:t>第三条 保证金、租金及其支付</w:t>
      </w:r>
      <w:bookmarkEnd w:id="2"/>
      <w:bookmarkEnd w:id="3"/>
      <w:bookmarkEnd w:id="4"/>
    </w:p>
    <w:p>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pPr>
        <w:spacing w:line="360" w:lineRule="auto"/>
        <w:ind w:firstLine="480" w:firstLineChars="200"/>
        <w:rPr>
          <w:rFonts w:ascii="宋体" w:hAnsi="宋体" w:eastAsia="宋体" w:cs="Times New Roman"/>
          <w:sz w:val="24"/>
          <w:szCs w:val="24"/>
        </w:rPr>
      </w:pPr>
    </w:p>
    <w:tbl>
      <w:tblPr>
        <w:tblStyle w:val="19"/>
        <w:tblW w:w="816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6"/>
        <w:gridCol w:w="1267"/>
        <w:gridCol w:w="1293"/>
        <w:gridCol w:w="1701"/>
        <w:gridCol w:w="1417"/>
        <w:gridCol w:w="1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126" w:type="dxa"/>
            <w:shd w:val="clear" w:color="auto" w:fill="auto"/>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计租年</w:t>
            </w:r>
          </w:p>
        </w:tc>
        <w:tc>
          <w:tcPr>
            <w:tcW w:w="1267"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w:t>
            </w:r>
          </w:p>
        </w:tc>
        <w:tc>
          <w:tcPr>
            <w:tcW w:w="1293"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建筑面积</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w:t>
            </w:r>
          </w:p>
        </w:tc>
        <w:tc>
          <w:tcPr>
            <w:tcW w:w="1701"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日建筑面积租金</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（元/天/㎡）</w:t>
            </w:r>
          </w:p>
        </w:tc>
        <w:tc>
          <w:tcPr>
            <w:tcW w:w="1417"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（元/月）</w:t>
            </w:r>
          </w:p>
        </w:tc>
        <w:tc>
          <w:tcPr>
            <w:tcW w:w="1358"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26"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第一年</w:t>
            </w: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126"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第二年</w:t>
            </w: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126" w:type="dxa"/>
            <w:shd w:val="clear" w:color="auto" w:fill="auto"/>
          </w:tcPr>
          <w:p>
            <w:pPr>
              <w:spacing w:line="360" w:lineRule="auto"/>
              <w:jc w:val="center"/>
              <w:rPr>
                <w:rFonts w:ascii="宋体" w:hAnsi="宋体" w:eastAsia="宋体" w:cs="Times New Roman"/>
                <w:sz w:val="24"/>
                <w:szCs w:val="24"/>
              </w:rPr>
            </w:pP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126" w:type="dxa"/>
            <w:shd w:val="clear" w:color="auto" w:fill="auto"/>
          </w:tcPr>
          <w:p>
            <w:pPr>
              <w:spacing w:line="360" w:lineRule="auto"/>
              <w:jc w:val="center"/>
              <w:rPr>
                <w:rFonts w:ascii="宋体" w:hAnsi="宋体" w:eastAsia="宋体" w:cs="Times New Roman"/>
                <w:sz w:val="24"/>
                <w:szCs w:val="24"/>
              </w:rPr>
            </w:pP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bl>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6</w:t>
      </w:r>
      <w:r>
        <w:rPr>
          <w:rFonts w:hint="eastAsia" w:ascii="宋体" w:hAnsi="宋体" w:eastAsia="宋体" w:cs="Times New Roman"/>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收款户名：</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收款银行：</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收款账号：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5" w:name="_Toc42611230"/>
      <w:r>
        <w:rPr>
          <w:rFonts w:hint="eastAsia" w:ascii="宋体" w:hAnsi="宋体" w:eastAsia="宋体" w:cs="Times New Roman"/>
          <w:b/>
          <w:bCs/>
          <w:sz w:val="24"/>
          <w:szCs w:val="24"/>
        </w:rPr>
        <w:t>第四条 交付</w:t>
      </w:r>
      <w:bookmarkEnd w:id="5"/>
    </w:p>
    <w:p>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hAnsi="宋体" w:eastAsia="宋体" w:cs="Times New Roman"/>
          <w:sz w:val="24"/>
          <w:szCs w:val="24"/>
          <w:u w:val="single"/>
        </w:rPr>
        <w:t xml:space="preserve">      </w:t>
      </w:r>
      <w:r>
        <w:rPr>
          <w:rFonts w:hint="eastAsia" w:ascii="宋体" w:hAnsi="宋体" w:eastAsia="宋体" w:cs="Times New Roman"/>
          <w:sz w:val="24"/>
          <w:szCs w:val="24"/>
        </w:rPr>
        <w:t>元人民币（RMB</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120446103"/>
      <w:bookmarkStart w:id="8" w:name="_Toc29824935"/>
      <w:bookmarkStart w:id="9" w:name="_Toc29563023"/>
      <w:r>
        <w:rPr>
          <w:rFonts w:hint="eastAsia" w:ascii="宋体" w:hAnsi="宋体" w:eastAsia="宋体" w:cs="Times New Roman"/>
          <w:b/>
          <w:bCs/>
          <w:sz w:val="24"/>
          <w:szCs w:val="24"/>
        </w:rPr>
        <w:t>第五条 转租、转让和交换</w:t>
      </w:r>
      <w:bookmarkEnd w:id="6"/>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29563024"/>
      <w:bookmarkStart w:id="11" w:name="_Toc120446105"/>
      <w:bookmarkStart w:id="12" w:name="_Toc42611232"/>
      <w:bookmarkStart w:id="13" w:name="_Toc29824936"/>
      <w:r>
        <w:rPr>
          <w:rFonts w:hint="eastAsia" w:ascii="宋体" w:hAnsi="宋体" w:eastAsia="宋体" w:cs="Times New Roman"/>
          <w:b/>
          <w:bCs/>
          <w:sz w:val="24"/>
          <w:szCs w:val="24"/>
        </w:rPr>
        <w:t>第六条 保险</w:t>
      </w:r>
      <w:bookmarkEnd w:id="10"/>
      <w:bookmarkEnd w:id="11"/>
      <w:bookmarkEnd w:id="12"/>
      <w:bookmarkEnd w:id="13"/>
    </w:p>
    <w:p>
      <w:pPr>
        <w:spacing w:line="360" w:lineRule="auto"/>
        <w:rPr>
          <w:rFonts w:ascii="宋体" w:hAnsi="宋体" w:eastAsia="宋体" w:cs="Times New Roman"/>
          <w:sz w:val="24"/>
          <w:szCs w:val="24"/>
        </w:rPr>
      </w:pPr>
      <w:bookmarkStart w:id="14" w:name="_Toc120446106"/>
      <w:bookmarkStart w:id="15" w:name="_Toc29824937"/>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rPr>
        <w:t>大厦内部公共区域公共责任险。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的权利和随时改变、替换或取消原有名称的权利。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34403825"/>
      <w:bookmarkStart w:id="21" w:name="_Toc131388756"/>
      <w:bookmarkStart w:id="22" w:name="_Toc130382633"/>
      <w:bookmarkStart w:id="23" w:name="_Toc42611237"/>
      <w:r>
        <w:rPr>
          <w:rFonts w:hint="eastAsia" w:ascii="宋体" w:hAnsi="宋体" w:eastAsia="宋体" w:cs="Times New Roman"/>
          <w:b/>
          <w:bCs/>
          <w:sz w:val="24"/>
          <w:szCs w:val="24"/>
        </w:rPr>
        <w:t>第十一条 合同解除</w:t>
      </w:r>
      <w:bookmarkEnd w:id="20"/>
      <w:bookmarkEnd w:id="21"/>
      <w:bookmarkEnd w:id="22"/>
      <w:bookmarkEnd w:id="23"/>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34403828"/>
      <w:bookmarkStart w:id="26" w:name="_Toc42611239"/>
      <w:r>
        <w:rPr>
          <w:rFonts w:hint="eastAsia" w:ascii="宋体" w:hAnsi="宋体" w:eastAsia="宋体" w:cs="Times New Roman"/>
          <w:b/>
          <w:bCs/>
          <w:sz w:val="24"/>
          <w:szCs w:val="24"/>
        </w:rPr>
        <w:t>第十三条 保密</w:t>
      </w:r>
      <w:bookmarkEnd w:id="25"/>
      <w:bookmarkEnd w:id="26"/>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42611240"/>
      <w:bookmarkStart w:id="28" w:name="_Toc34403829"/>
      <w:bookmarkStart w:id="29" w:name="_Toc120446113"/>
      <w:r>
        <w:rPr>
          <w:rFonts w:hint="eastAsia" w:ascii="宋体" w:hAnsi="宋体" w:eastAsia="宋体" w:cs="Times New Roman"/>
          <w:b/>
          <w:bCs/>
          <w:sz w:val="24"/>
          <w:szCs w:val="24"/>
        </w:rPr>
        <w:t>第十四条 适用法律及争议解决</w:t>
      </w:r>
      <w:bookmarkEnd w:id="27"/>
      <w:bookmarkEnd w:id="28"/>
      <w:bookmarkEnd w:id="29"/>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131388761"/>
      <w:bookmarkStart w:id="31" w:name="_Toc42611241"/>
      <w:bookmarkStart w:id="32" w:name="_Toc34403830"/>
      <w:r>
        <w:rPr>
          <w:rFonts w:hint="eastAsia" w:ascii="宋体" w:hAnsi="宋体" w:eastAsia="宋体" w:cs="Times New Roman"/>
          <w:b/>
          <w:bCs/>
          <w:sz w:val="24"/>
          <w:szCs w:val="24"/>
        </w:rPr>
        <w:t>第十五条 通知</w:t>
      </w:r>
      <w:bookmarkEnd w:id="30"/>
      <w:bookmarkEnd w:id="31"/>
      <w:bookmarkEnd w:id="32"/>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16.6 本合同未尽事宜双方应共同协商并达成书面补充协议，书面补充协议自双方盖章之日起生效。补充协议与本合同具有同等效力，补充协议之规定与本合同不一致的，以补充协议为准。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16.7 本合同由甲、乙双方法定代表人或委托代理人共同签署（由法定代表人或委托代理人签字，同时加盖法人章）。</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16.8 本合同自乙方向甲方支付了租赁保证金且双方法人或其授权代表签字盖章后正式生效。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16.9 本合同一式肆份，甲、乙双方各执贰份，合同附件为本合同的一部分，与本合同具有同等的法律效力。</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ascii="宋体" w:hAnsi="宋体" w:eastAsia="宋体" w:cs="Times New Roman"/>
          <w:sz w:val="24"/>
          <w:szCs w:val="24"/>
        </w:rPr>
        <w:t>。</w:t>
      </w: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146"/>
      <w:bookmarkEnd w:id="35"/>
      <w:bookmarkStart w:id="36" w:name="_Toc130919078"/>
      <w:bookmarkEnd w:id="36"/>
      <w:bookmarkStart w:id="37" w:name="_Toc130919147"/>
      <w:bookmarkEnd w:id="37"/>
      <w:bookmarkStart w:id="38" w:name="_Toc130919079"/>
      <w:bookmarkEnd w:id="38"/>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ind w:left="200" w:hanging="200"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附件六</w:t>
      </w:r>
      <w:r>
        <w:rPr>
          <w:rFonts w:ascii="宋体" w:hAnsi="宋体" w:eastAsia="宋体" w:cs="Times New Roman"/>
          <w:b/>
          <w:sz w:val="24"/>
          <w:szCs w:val="24"/>
        </w:rPr>
        <w:t>《</w:t>
      </w:r>
      <w:r>
        <w:rPr>
          <w:rFonts w:hint="eastAsia" w:ascii="宋体" w:hAnsi="宋体" w:eastAsia="宋体" w:cs="Times New Roman"/>
          <w:b/>
          <w:sz w:val="24"/>
          <w:szCs w:val="24"/>
        </w:rPr>
        <w:t>乙方营业执照、法定代表人身份证复印件</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附件七《消防安全责任书》</w:t>
      </w:r>
      <w:bookmarkStart w:id="40" w:name="_Toc42611245"/>
    </w:p>
    <w:p>
      <w:pPr>
        <w:rPr>
          <w:rFonts w:ascii="宋体" w:hAnsi="宋体" w:eastAsia="宋体" w:cs="Times New Roman"/>
          <w:sz w:val="24"/>
          <w:szCs w:val="24"/>
        </w:rPr>
      </w:pPr>
      <w:r>
        <w:rPr>
          <w:rFonts w:hint="eastAsia" w:ascii="宋体" w:hAnsi="宋体" w:eastAsia="宋体" w:cs="Times New Roman"/>
          <w:sz w:val="24"/>
          <w:szCs w:val="24"/>
        </w:rPr>
        <w:br w:type="page"/>
      </w: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406700383"/>
      <w:bookmarkStart w:id="42" w:name="_Toc29563025"/>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p>
      <w:pPr>
        <w:spacing w:before="312" w:beforeLines="100" w:after="312" w:afterLines="100" w:line="360" w:lineRule="auto"/>
        <w:rPr>
          <w:rFonts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 xml:space="preserve">室建筑面积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双方声明：甲乙双方在本表单上签字盖章确认后即视为完成交付，甲乙双方对此再无异议。</w:t>
      </w:r>
    </w:p>
    <w:tbl>
      <w:tblPr>
        <w:tblStyle w:val="19"/>
        <w:tblpPr w:leftFromText="180" w:rightFromText="180" w:vertAnchor="text" w:horzAnchor="margin" w:tblpY="460"/>
        <w:tblW w:w="9106" w:type="dxa"/>
        <w:tblInd w:w="0" w:type="dxa"/>
        <w:tblLayout w:type="fixed"/>
        <w:tblCellMar>
          <w:top w:w="0" w:type="dxa"/>
          <w:left w:w="108" w:type="dxa"/>
          <w:bottom w:w="0" w:type="dxa"/>
          <w:right w:w="108" w:type="dxa"/>
        </w:tblCellMar>
      </w:tblPr>
      <w:tblGrid>
        <w:gridCol w:w="2228"/>
        <w:gridCol w:w="4380"/>
        <w:gridCol w:w="2498"/>
      </w:tblGrid>
      <w:tr>
        <w:tblPrEx>
          <w:tblCellMar>
            <w:top w:w="0" w:type="dxa"/>
            <w:left w:w="108" w:type="dxa"/>
            <w:bottom w:w="0" w:type="dxa"/>
            <w:right w:w="108" w:type="dxa"/>
          </w:tblCellMar>
        </w:tblPrEx>
        <w:trPr>
          <w:trHeight w:val="810" w:hRule="atLeast"/>
        </w:trPr>
        <w:tc>
          <w:tcPr>
            <w:tcW w:w="2228" w:type="dxa"/>
            <w:tcBorders>
              <w:top w:val="single" w:color="auto" w:sz="4" w:space="0"/>
              <w:left w:val="single" w:color="auto" w:sz="4" w:space="0"/>
              <w:bottom w:val="single" w:color="auto" w:sz="4" w:space="0"/>
              <w:right w:val="single" w:color="auto" w:sz="4" w:space="0"/>
            </w:tcBorders>
            <w:vAlign w:val="center"/>
          </w:tcPr>
          <w:p>
            <w:pPr>
              <w:spacing w:line="360" w:lineRule="auto"/>
              <w:ind w:left="901" w:leftChars="229" w:hanging="420"/>
              <w:rPr>
                <w:rFonts w:ascii="宋体" w:hAnsi="宋体" w:eastAsia="宋体" w:cs="Times New Roman"/>
                <w:szCs w:val="24"/>
              </w:rPr>
            </w:pPr>
            <w:r>
              <w:rPr>
                <w:rFonts w:hint="eastAsia" w:ascii="宋体" w:hAnsi="宋体" w:eastAsia="宋体" w:cs="Times New Roman"/>
                <w:szCs w:val="24"/>
              </w:rPr>
              <w:t>项目名称</w:t>
            </w:r>
          </w:p>
        </w:tc>
        <w:tc>
          <w:tcPr>
            <w:tcW w:w="4380" w:type="dxa"/>
            <w:tcBorders>
              <w:top w:val="single" w:color="auto" w:sz="4" w:space="0"/>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 xml:space="preserve">        状况</w:t>
            </w:r>
          </w:p>
        </w:tc>
        <w:tc>
          <w:tcPr>
            <w:tcW w:w="2498" w:type="dxa"/>
            <w:tcBorders>
              <w:top w:val="single" w:color="auto" w:sz="4" w:space="0"/>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备注</w:t>
            </w: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结构</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天花</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地面</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墙面</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供电</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电源</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智能化</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消防</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nil"/>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空调</w:t>
            </w:r>
          </w:p>
        </w:tc>
        <w:tc>
          <w:tcPr>
            <w:tcW w:w="4380" w:type="dxa"/>
            <w:tcBorders>
              <w:top w:val="nil"/>
              <w:left w:val="nil"/>
              <w:bottom w:val="nil"/>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nil"/>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blPrEx>
          <w:tblCellMar>
            <w:top w:w="0" w:type="dxa"/>
            <w:left w:w="108" w:type="dxa"/>
            <w:bottom w:w="0" w:type="dxa"/>
            <w:right w:w="108" w:type="dxa"/>
          </w:tblCellMar>
        </w:tblPrEx>
        <w:trPr>
          <w:trHeight w:val="8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bl>
    <w:p>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pPr>
        <w:spacing w:line="360" w:lineRule="auto"/>
        <w:ind w:left="674" w:leftChars="321" w:firstLine="480" w:firstLineChars="200"/>
        <w:rPr>
          <w:rFonts w:ascii="宋体" w:hAnsi="宋体" w:eastAsia="宋体" w:cs="Times New Roman"/>
          <w:sz w:val="24"/>
          <w:szCs w:val="24"/>
        </w:rPr>
      </w:pPr>
      <w:r>
        <w:rPr>
          <w:rFonts w:hint="eastAsia" w:ascii="宋体" w:hAnsi="宋体" w:eastAsia="宋体" w:cs="Times New Roman"/>
          <w:sz w:val="24"/>
          <w:szCs w:val="24"/>
        </w:rPr>
        <w:t>20</w:t>
      </w:r>
      <w:r>
        <w:rPr>
          <w:rFonts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日（下称“验收日”），甲方与乙方依据《租赁合同》（下称“租赁合同”）约定，对位于常州市</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室大厦进行了交接验收。</w:t>
      </w:r>
    </w:p>
    <w:p>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甲方/□乙方移交的大厦符合租赁合同约定的交付条件，□甲方/□乙方没有异议。甲、乙双方确认，自验收日起，□甲方/□乙方正式将该大厦移交给□甲方/□乙方，由□甲方/□乙方按租赁合同的约定的用途使用。</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pPr>
        <w:spacing w:line="360" w:lineRule="auto"/>
        <w:ind w:left="549" w:leftChars="167" w:hanging="198" w:hangingChars="82"/>
        <w:rPr>
          <w:rFonts w:ascii="宋体" w:hAnsi="宋体" w:eastAsia="宋体" w:cs="Times New Roman"/>
          <w:b/>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pPr>
        <w:spacing w:line="360" w:lineRule="auto"/>
        <w:ind w:left="1261" w:hanging="482"/>
        <w:rPr>
          <w:rFonts w:ascii="宋体" w:hAnsi="宋体" w:eastAsia="宋体" w:cs="Times New Roman"/>
          <w:b/>
          <w:sz w:val="24"/>
          <w:szCs w:val="24"/>
        </w:rPr>
      </w:pPr>
    </w:p>
    <w:p>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pPr>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tblPrEx>
          <w:tblCellMar>
            <w:top w:w="0" w:type="dxa"/>
            <w:left w:w="108" w:type="dxa"/>
            <w:bottom w:w="0" w:type="dxa"/>
            <w:right w:w="108" w:type="dxa"/>
          </w:tblCellMar>
        </w:tblPrEx>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5"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95" w:hRule="atLeast"/>
        </w:trPr>
        <w:tc>
          <w:tcPr>
            <w:tcW w:w="480" w:type="dxa"/>
            <w:vMerge w:val="continue"/>
            <w:tcBorders>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361" w:hRule="atLeast"/>
        </w:trPr>
        <w:tc>
          <w:tcPr>
            <w:tcW w:w="480"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62"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29" w:hRule="atLeast"/>
        </w:trPr>
        <w:tc>
          <w:tcPr>
            <w:tcW w:w="480"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厨房排污设备</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bl>
    <w:p>
      <w:pPr>
        <w:spacing w:line="360" w:lineRule="auto"/>
        <w:rPr>
          <w:rFonts w:ascii="宋体" w:hAnsi="宋体" w:eastAsia="宋体" w:cs="Times New Roman"/>
          <w:b/>
          <w:sz w:val="24"/>
          <w:szCs w:val="24"/>
        </w:rPr>
      </w:pPr>
    </w:p>
    <w:p>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pPr>
        <w:spacing w:line="360" w:lineRule="auto"/>
        <w:ind w:left="1261" w:hanging="482"/>
        <w:jc w:val="center"/>
        <w:rPr>
          <w:rFonts w:ascii="宋体" w:hAnsi="宋体" w:eastAsia="宋体" w:cs="Times New Roman"/>
          <w:sz w:val="24"/>
          <w:szCs w:val="24"/>
        </w:rPr>
      </w:pPr>
      <w:r>
        <w:rPr>
          <w:rFonts w:ascii="宋体" w:hAnsi="宋体" w:eastAsia="宋体" w:cs="Times New Roman"/>
          <w:b/>
          <w:sz w:val="24"/>
          <w:szCs w:val="24"/>
        </w:rPr>
        <w:t>出租人、租户通知送达信息表</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甲方：</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乙方：</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r>
        <w:rPr>
          <w:rFonts w:hint="eastAsia" w:ascii="宋体" w:hAnsi="宋体" w:eastAsia="宋体" w:cs="Times New Roman"/>
          <w:sz w:val="24"/>
          <w:szCs w:val="24"/>
        </w:rPr>
        <w:t>：</w:t>
      </w:r>
    </w:p>
    <w:p>
      <w:pPr>
        <w:spacing w:line="360" w:lineRule="auto"/>
        <w:ind w:left="552" w:leftChars="168" w:hanging="199" w:hangingChars="83"/>
        <w:rPr>
          <w:rFonts w:ascii="宋体" w:hAnsi="宋体" w:eastAsia="宋体" w:cs="Times New Roman"/>
          <w:sz w:val="24"/>
          <w:szCs w:val="24"/>
        </w:rPr>
      </w:pPr>
    </w:p>
    <w:p>
      <w:pPr>
        <w:spacing w:line="360" w:lineRule="auto"/>
        <w:ind w:left="552" w:leftChars="168" w:hanging="199" w:hangingChars="83"/>
        <w:rPr>
          <w:rFonts w:ascii="宋体" w:hAnsi="宋体" w:eastAsia="宋体" w:cs="Times New Roman"/>
          <w:sz w:val="24"/>
          <w:szCs w:val="24"/>
        </w:rPr>
      </w:pPr>
    </w:p>
    <w:p>
      <w:pPr>
        <w:spacing w:line="360" w:lineRule="auto"/>
        <w:ind w:left="592" w:leftChars="282" w:firstLine="40" w:firstLineChars="17"/>
        <w:rPr>
          <w:rFonts w:hint="default" w:ascii="宋体" w:hAnsi="宋体" w:eastAsia="宋体" w:cs="Times New Roman"/>
          <w:sz w:val="24"/>
          <w:szCs w:val="24"/>
          <w:u w:val="none"/>
          <w:lang w:val="en-US" w:eastAsia="zh-Hans"/>
        </w:rPr>
      </w:pPr>
      <w:r>
        <w:rPr>
          <w:rFonts w:hint="eastAsia" w:ascii="宋体" w:hAnsi="宋体" w:eastAsia="宋体" w:cs="Times New Roman"/>
          <w:sz w:val="24"/>
          <w:szCs w:val="24"/>
          <w:u w:val="none"/>
          <w:lang w:val="en-US" w:eastAsia="zh-Hans"/>
        </w:rPr>
        <w:t>双方以上送达地址适用范围包括双方非诉时各类通知、协议等文件以及合同发生纠纷时相关文件、法律文书的送达，同时包括在争议进入仲裁、民事诉讼程序后的一审、二审、再审和执行程序。</w:t>
      </w:r>
    </w:p>
    <w:p>
      <w:pPr>
        <w:spacing w:line="360" w:lineRule="auto"/>
        <w:ind w:left="1261" w:hanging="482"/>
        <w:rPr>
          <w:rFonts w:ascii="宋体" w:hAnsi="宋体" w:eastAsia="宋体" w:cs="Times New Roman"/>
          <w:b/>
          <w:sz w:val="24"/>
          <w:szCs w:val="24"/>
        </w:rPr>
      </w:pPr>
    </w:p>
    <w:p>
      <w:pPr>
        <w:spacing w:line="360" w:lineRule="auto"/>
        <w:ind w:left="549" w:leftChars="167" w:hanging="198" w:hangingChars="82"/>
        <w:rPr>
          <w:rFonts w:ascii="宋体" w:hAnsi="宋体" w:eastAsia="宋体" w:cs="Times New Roman"/>
          <w:b/>
          <w:sz w:val="24"/>
          <w:szCs w:val="24"/>
        </w:rPr>
      </w:pPr>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附件六：</w:t>
      </w:r>
      <w:r>
        <w:rPr>
          <w:rFonts w:ascii="宋体" w:hAnsi="宋体" w:eastAsia="宋体" w:cs="Times New Roman"/>
          <w:b/>
          <w:sz w:val="24"/>
          <w:szCs w:val="24"/>
        </w:rPr>
        <w:t>《</w:t>
      </w:r>
      <w:r>
        <w:rPr>
          <w:rFonts w:hint="eastAsia" w:ascii="宋体" w:hAnsi="宋体" w:eastAsia="宋体" w:cs="Times New Roman"/>
          <w:b/>
          <w:sz w:val="24"/>
          <w:szCs w:val="24"/>
        </w:rPr>
        <w:t>乙方营业执照、法定代表人身份证复印件</w:t>
      </w:r>
      <w:r>
        <w:rPr>
          <w:rFonts w:ascii="宋体" w:hAnsi="宋体" w:eastAsia="宋体" w:cs="Times New Roman"/>
          <w:b/>
          <w:sz w:val="24"/>
          <w:szCs w:val="24"/>
        </w:rPr>
        <w:t>》</w:t>
      </w: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568" w:leftChars="176" w:hanging="198" w:hangingChars="82"/>
        <w:rPr>
          <w:rFonts w:ascii="宋体" w:hAnsi="宋体" w:eastAsia="宋体" w:cs="Times New Roman"/>
          <w:b/>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562" w:leftChars="173" w:hanging="199" w:hangingChars="83"/>
        <w:rPr>
          <w:rFonts w:ascii="宋体" w:hAnsi="宋体" w:eastAsia="宋体" w:cs="Times New Roman"/>
          <w:sz w:val="24"/>
          <w:szCs w:val="24"/>
        </w:rPr>
      </w:pPr>
    </w:p>
    <w:p>
      <w:pPr>
        <w:spacing w:line="360" w:lineRule="auto"/>
        <w:ind w:left="567" w:leftChars="175" w:hanging="199" w:hangingChars="83"/>
        <w:rPr>
          <w:rFonts w:ascii="宋体" w:hAnsi="宋体" w:eastAsia="宋体" w:cs="Times New Roman"/>
          <w:sz w:val="24"/>
          <w:szCs w:val="24"/>
        </w:rPr>
      </w:pPr>
    </w:p>
    <w:p>
      <w:pPr>
        <w:spacing w:line="360" w:lineRule="auto"/>
        <w:ind w:left="568" w:leftChars="176" w:hanging="198" w:hangingChars="82"/>
        <w:rPr>
          <w:rFonts w:ascii="宋体" w:hAnsi="宋体" w:eastAsia="宋体" w:cs="Times New Roman"/>
          <w:b/>
          <w:sz w:val="24"/>
          <w:szCs w:val="24"/>
        </w:rPr>
      </w:pPr>
    </w:p>
    <w:p>
      <w:pPr>
        <w:spacing w:line="360" w:lineRule="auto"/>
        <w:ind w:left="568" w:leftChars="176" w:hanging="198" w:hangingChars="82"/>
        <w:rPr>
          <w:rFonts w:ascii="宋体" w:hAnsi="宋体" w:eastAsia="宋体" w:cs="Times New Roman"/>
          <w:b/>
          <w:sz w:val="24"/>
          <w:szCs w:val="24"/>
        </w:rPr>
      </w:pPr>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附件七：</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3NTQyMDI1OTBiZjYxZDk0NmQ5YWI3OWM1MjA3YjcifQ=="/>
  </w:docVars>
  <w:rsids>
    <w:rsidRoot w:val="00261AB3"/>
    <w:rsid w:val="00261AB3"/>
    <w:rsid w:val="0036139B"/>
    <w:rsid w:val="00E638D8"/>
    <w:rsid w:val="00EE7CDE"/>
    <w:rsid w:val="0DB13617"/>
    <w:rsid w:val="2F2E7C10"/>
    <w:rsid w:val="4FFC6B30"/>
    <w:rsid w:val="6C517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semiHidden/>
    <w:unhideWhenUsed/>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qFormat/>
    <w:uiPriority w:val="0"/>
    <w:pPr>
      <w:ind w:left="571" w:leftChars="371" w:hanging="200" w:hangingChars="200"/>
    </w:pPr>
    <w:rPr>
      <w:rFonts w:eastAsia="微软雅黑" w:cs="Times New Roman"/>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qFormat/>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0BE6B-3075-467A-B708-BC94A4D00AD5}">
  <ds:schemaRefs/>
</ds:datastoreItem>
</file>

<file path=docProps/app.xml><?xml version="1.0" encoding="utf-8"?>
<Properties xmlns="http://schemas.openxmlformats.org/officeDocument/2006/extended-properties" xmlns:vt="http://schemas.openxmlformats.org/officeDocument/2006/docPropsVTypes">
  <Template>Normal</Template>
  <Pages>32</Pages>
  <Words>17293</Words>
  <Characters>17872</Characters>
  <Lines>145</Lines>
  <Paragraphs>40</Paragraphs>
  <TotalTime>0</TotalTime>
  <ScaleCrop>false</ScaleCrop>
  <LinksUpToDate>false</LinksUpToDate>
  <CharactersWithSpaces>18900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2021-06-21T08:49:00Z</dcterms:created>
  <dc:creator>Administrator</dc:creator>
  <cp:lastModifiedBy>admin</cp:lastModifiedBy>
  <dcterms:modified xsi:type="dcterms:W3CDTF">2023-09-07T08:57:05Z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48DCE38A78FD49B0B6ACC08F189F921A_13</vt:lpwstr>
  </property>
</Properties>
</file>