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rPr>
          <w:rFonts w:ascii="宋体" w:hAnsi="宋体" w:eastAsia="宋体" w:cs="Times New Roman"/>
          <w:sz w:val="24"/>
          <w:szCs w:val="24"/>
        </w:rPr>
      </w:pPr>
    </w:p>
    <w:p>
      <w:pPr>
        <w:widowControl/>
        <w:ind w:firstLine="4800" w:firstLineChars="2000"/>
        <w:jc w:val="left"/>
        <w:rPr>
          <w:rFonts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pPr>
        <w:spacing w:line="360" w:lineRule="auto"/>
        <w:jc w:val="center"/>
        <w:rPr>
          <w:rFonts w:ascii="微软雅黑" w:hAnsi="微软雅黑" w:eastAsia="宋体" w:cs="Times New Roman"/>
          <w:b/>
          <w:sz w:val="32"/>
          <w:szCs w:val="24"/>
        </w:rPr>
      </w:pPr>
      <w:r>
        <w:rPr>
          <w:rFonts w:ascii="微软雅黑" w:hAnsi="微软雅黑" w:eastAsia="微软雅黑" w:cs="Times New Roman"/>
          <w:sz w:val="32"/>
          <w:szCs w:val="32"/>
        </w:rPr>
        <w:t>（办公楼）</w:t>
      </w: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jc w:val="center"/>
        <w:rPr>
          <w:rFonts w:ascii="宋体" w:hAnsi="宋体" w:eastAsia="宋体" w:cs="Times New Roman"/>
          <w:b/>
          <w:sz w:val="24"/>
          <w:szCs w:val="24"/>
        </w:rPr>
      </w:pPr>
    </w:p>
    <w:p>
      <w:pPr>
        <w:spacing w:line="360" w:lineRule="auto"/>
        <w:ind w:left="1259" w:hanging="480"/>
        <w:rPr>
          <w:rFonts w:ascii="宋体" w:hAnsi="宋体" w:eastAsia="宋体" w:cs="Times New Roman"/>
          <w:b/>
          <w:sz w:val="24"/>
          <w:szCs w:val="24"/>
        </w:rPr>
      </w:pPr>
    </w:p>
    <w:p>
      <w:pPr>
        <w:spacing w:line="360" w:lineRule="auto"/>
        <w:ind w:left="561" w:hanging="561"/>
        <w:jc w:val="center"/>
        <w:rPr>
          <w:rFonts w:ascii="微软雅黑" w:hAnsi="微软雅黑" w:eastAsia="宋体" w:cs="Times New Roman"/>
          <w:b/>
          <w:sz w:val="28"/>
          <w:szCs w:val="28"/>
        </w:rPr>
      </w:pPr>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
      <w:pPr>
        <w:spacing w:line="360" w:lineRule="auto"/>
        <w:rPr>
          <w:rFonts w:ascii="宋体" w:hAnsi="宋体" w:eastAsia="宋体" w:cs="Times New Roman"/>
          <w:b/>
          <w:bCs/>
          <w:sz w:val="24"/>
          <w:szCs w:val="24"/>
        </w:rPr>
      </w:pPr>
    </w:p>
    <w:p>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pPr>
        <w:widowControl/>
        <w:jc w:val="left"/>
        <w:rPr>
          <w:rFonts w:ascii="宋体" w:hAnsi="宋体" w:eastAsia="宋体" w:cs="Times New Roman"/>
          <w:b/>
          <w:spacing w:val="20"/>
          <w:sz w:val="24"/>
          <w:szCs w:val="24"/>
        </w:rPr>
      </w:pPr>
    </w:p>
    <w:p>
      <w:pPr>
        <w:spacing w:line="360" w:lineRule="auto"/>
        <w:ind w:left="1341" w:hanging="562"/>
        <w:rPr>
          <w:rFonts w:ascii="宋体" w:hAnsi="宋体" w:eastAsia="宋体" w:cs="Times New Roman"/>
          <w:b/>
          <w:spacing w:val="20"/>
          <w:sz w:val="24"/>
          <w:szCs w:val="24"/>
        </w:rPr>
      </w:pPr>
      <w:r>
        <w:rPr>
          <w:rFonts w:ascii="宋体" w:hAnsi="宋体" w:eastAsia="宋体" w:cs="Times New Roman"/>
          <w:b/>
          <w:spacing w:val="20"/>
          <w:sz w:val="24"/>
          <w:szCs w:val="24"/>
        </w:rPr>
        <w:t>出租方（以下称甲方）：</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p>
    <w:p>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pPr>
        <w:spacing w:line="360" w:lineRule="auto"/>
        <w:ind w:left="1339" w:hanging="560"/>
        <w:rPr>
          <w:rFonts w:ascii="宋体" w:hAnsi="宋体" w:eastAsia="宋体" w:cs="Times New Roman"/>
          <w:spacing w:val="20"/>
          <w:sz w:val="24"/>
          <w:szCs w:val="24"/>
        </w:rPr>
      </w:pPr>
    </w:p>
    <w:p>
      <w:pPr>
        <w:spacing w:line="360" w:lineRule="auto"/>
        <w:ind w:left="1339" w:hanging="560"/>
        <w:rPr>
          <w:rFonts w:ascii="宋体" w:hAnsi="宋体" w:eastAsia="宋体" w:cs="Times New Roman"/>
          <w:spacing w:val="20"/>
          <w:sz w:val="24"/>
          <w:szCs w:val="24"/>
        </w:rPr>
      </w:pPr>
    </w:p>
    <w:p>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pPr>
        <w:spacing w:line="360" w:lineRule="auto"/>
        <w:ind w:left="1339" w:hanging="560"/>
        <w:rPr>
          <w:rFonts w:ascii="宋体" w:hAnsi="宋体" w:eastAsia="宋体" w:cs="Times New Roman"/>
          <w:sz w:val="24"/>
          <w:szCs w:val="24"/>
        </w:rPr>
      </w:pPr>
    </w:p>
    <w:p>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pPr>
        <w:spacing w:line="360" w:lineRule="auto"/>
        <w:rPr>
          <w:rFonts w:ascii="宋体" w:hAnsi="宋体" w:eastAsia="宋体" w:cs="Times New Roman"/>
          <w:sz w:val="24"/>
          <w:szCs w:val="24"/>
        </w:rPr>
      </w:pPr>
      <w:r>
        <w:rPr>
          <w:rFonts w:hint="eastAsia" w:ascii="宋体" w:hAnsi="宋体" w:eastAsia="宋体" w:cs="Times New Roman"/>
          <w:sz w:val="24"/>
          <w:szCs w:val="24"/>
        </w:rPr>
        <w:t>1.1甲方同意将坐落于</w:t>
      </w:r>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室房屋按该租赁物业现状出租给乙方。双方确认，该租赁物业的建筑面积为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平方米，《租户租赁物业示意图》见附件一。</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抵押、装修、设施及设备、面积、房屋结构、周边环境等）进行了充分告知，乙方亦做了充分细致地了解，并接受此等实际情况作为交付条件，双方据此签订本合同并履行合同项下的权利义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用途。在租赁期内，非经甲方书面同意，乙方不得擅自改变所承租房屋的用途。</w:t>
      </w:r>
    </w:p>
    <w:p>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日止，其中装修期为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29824928"/>
      <w:bookmarkStart w:id="3" w:name="_Toc42611229"/>
      <w:bookmarkStart w:id="4" w:name="_Toc29563015"/>
      <w:r>
        <w:rPr>
          <w:rFonts w:hint="eastAsia" w:ascii="宋体" w:hAnsi="宋体" w:eastAsia="宋体" w:cs="Times New Roman"/>
          <w:b/>
          <w:bCs/>
          <w:sz w:val="24"/>
          <w:szCs w:val="24"/>
        </w:rPr>
        <w:t>第三条 保证金、租金及其支付</w:t>
      </w:r>
      <w:bookmarkEnd w:id="2"/>
      <w:bookmarkEnd w:id="3"/>
      <w:bookmarkEnd w:id="4"/>
    </w:p>
    <w:p>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否则视为乙方拖欠租金按本合同有关约定追究甲方违约责任。如租赁保证金不足以支付乙方应付款项或弥补损失，甲方有权向乙方追偿，且本合同甲方其他权利不受影响。</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计租年</w:t>
            </w:r>
          </w:p>
        </w:tc>
        <w:tc>
          <w:tcPr>
            <w:tcW w:w="1267"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第一年</w:t>
            </w: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第二年</w:t>
            </w: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pPr>
              <w:spacing w:line="360" w:lineRule="auto"/>
              <w:jc w:val="center"/>
              <w:rPr>
                <w:rFonts w:ascii="宋体" w:hAnsi="宋体" w:eastAsia="宋体" w:cs="Times New Roman"/>
                <w:sz w:val="24"/>
                <w:szCs w:val="24"/>
              </w:rPr>
            </w:pP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pPr>
              <w:spacing w:line="360" w:lineRule="auto"/>
              <w:jc w:val="center"/>
              <w:rPr>
                <w:rFonts w:ascii="宋体" w:hAnsi="宋体" w:eastAsia="宋体" w:cs="Times New Roman"/>
                <w:sz w:val="24"/>
                <w:szCs w:val="24"/>
              </w:rPr>
            </w:pPr>
          </w:p>
        </w:tc>
        <w:tc>
          <w:tcPr>
            <w:tcW w:w="1267" w:type="dxa"/>
            <w:shd w:val="clear" w:color="auto" w:fill="auto"/>
          </w:tcPr>
          <w:p>
            <w:pPr>
              <w:spacing w:line="360" w:lineRule="auto"/>
              <w:rPr>
                <w:rFonts w:ascii="宋体" w:hAnsi="宋体" w:eastAsia="宋体" w:cs="Times New Roman"/>
                <w:sz w:val="24"/>
                <w:szCs w:val="24"/>
              </w:rPr>
            </w:pPr>
          </w:p>
        </w:tc>
        <w:tc>
          <w:tcPr>
            <w:tcW w:w="1293" w:type="dxa"/>
            <w:shd w:val="clear" w:color="auto" w:fill="auto"/>
          </w:tcPr>
          <w:p>
            <w:pPr>
              <w:spacing w:line="360" w:lineRule="auto"/>
              <w:rPr>
                <w:rFonts w:ascii="宋体" w:hAnsi="宋体" w:eastAsia="宋体" w:cs="Times New Roman"/>
                <w:sz w:val="24"/>
                <w:szCs w:val="24"/>
              </w:rPr>
            </w:pPr>
          </w:p>
        </w:tc>
        <w:tc>
          <w:tcPr>
            <w:tcW w:w="1701" w:type="dxa"/>
            <w:shd w:val="clear" w:color="auto" w:fill="auto"/>
          </w:tcPr>
          <w:p>
            <w:pPr>
              <w:spacing w:line="360" w:lineRule="auto"/>
              <w:rPr>
                <w:rFonts w:ascii="宋体" w:hAnsi="宋体" w:eastAsia="宋体" w:cs="Times New Roman"/>
                <w:sz w:val="24"/>
                <w:szCs w:val="24"/>
              </w:rPr>
            </w:pPr>
          </w:p>
        </w:tc>
        <w:tc>
          <w:tcPr>
            <w:tcW w:w="1417" w:type="dxa"/>
            <w:shd w:val="clear" w:color="auto" w:fill="auto"/>
          </w:tcPr>
          <w:p>
            <w:pPr>
              <w:spacing w:line="360" w:lineRule="auto"/>
              <w:rPr>
                <w:rFonts w:ascii="宋体" w:hAnsi="宋体" w:eastAsia="宋体" w:cs="Times New Roman"/>
                <w:sz w:val="24"/>
                <w:szCs w:val="24"/>
              </w:rPr>
            </w:pPr>
          </w:p>
        </w:tc>
        <w:tc>
          <w:tcPr>
            <w:tcW w:w="1358" w:type="dxa"/>
            <w:shd w:val="clear" w:color="auto" w:fill="auto"/>
          </w:tcPr>
          <w:p>
            <w:pPr>
              <w:spacing w:line="360" w:lineRule="auto"/>
              <w:rPr>
                <w:rFonts w:ascii="宋体" w:hAnsi="宋体" w:eastAsia="宋体" w:cs="Times New Roman"/>
                <w:sz w:val="24"/>
                <w:szCs w:val="24"/>
              </w:rPr>
            </w:pPr>
          </w:p>
        </w:tc>
      </w:tr>
    </w:tbl>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6</w:t>
      </w:r>
      <w:r>
        <w:rPr>
          <w:rFonts w:hint="eastAsia" w:ascii="宋体" w:hAnsi="宋体" w:eastAsia="宋体" w:cs="Times New Roman"/>
          <w:sz w:val="24"/>
          <w:szCs w:val="24"/>
        </w:rPr>
        <w:t xml:space="preserve"> 乙方通过银行汇款的形式向甲方支付上述款项。甲方于收到租金的10个工作日内向乙方开具正式发票，并承担开票所需缴纳的税金。其他与本合同有关的税款缴纳甲乙双方根据我国税收相关法律法规的规定各自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hAnsi="宋体" w:eastAsia="宋体" w:cs="Times New Roman"/>
          <w:sz w:val="24"/>
          <w:szCs w:val="24"/>
          <w:u w:val="single"/>
        </w:rPr>
        <w:t xml:space="preserve">      </w:t>
      </w:r>
      <w:r>
        <w:rPr>
          <w:rFonts w:hint="eastAsia" w:ascii="宋体" w:hAnsi="宋体" w:eastAsia="宋体" w:cs="Times New Roman"/>
          <w:sz w:val="24"/>
          <w:szCs w:val="24"/>
        </w:rPr>
        <w:t>元人民币（RMB</w:t>
      </w:r>
      <w:r>
        <w:rPr>
          <w:rFonts w:ascii="宋体" w:hAnsi="宋体" w:eastAsia="宋体" w:cs="Times New Roman"/>
          <w:sz w:val="24"/>
          <w:szCs w:val="24"/>
          <w:u w:val="single"/>
        </w:rPr>
        <w:t xml:space="preserve">            </w:t>
      </w:r>
      <w:r>
        <w:rPr>
          <w:rFonts w:hint="eastAsia" w:ascii="宋体" w:hAnsi="宋体" w:eastAsia="宋体" w:cs="Times New Roman"/>
          <w:sz w:val="24"/>
          <w:szCs w:val="24"/>
        </w:rPr>
        <w:t>）。在乙方完成全部装修工程、并通过甲方验收合格后的30日内，甲方无息退还乙方缴纳的装修保证金，否则不予退还。</w:t>
      </w:r>
    </w:p>
    <w:p>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824935"/>
      <w:bookmarkStart w:id="8" w:name="_Toc120446103"/>
      <w:bookmarkStart w:id="9" w:name="_Toc29563023"/>
      <w:r>
        <w:rPr>
          <w:rFonts w:hint="eastAsia" w:ascii="宋体" w:hAnsi="宋体" w:eastAsia="宋体" w:cs="Times New Roman"/>
          <w:b/>
          <w:bCs/>
          <w:sz w:val="24"/>
          <w:szCs w:val="24"/>
        </w:rPr>
        <w:t>第五条 转租、转让和交换</w:t>
      </w:r>
      <w:bookmarkEnd w:id="6"/>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29824936"/>
      <w:bookmarkStart w:id="11" w:name="_Toc29563024"/>
      <w:bookmarkStart w:id="12" w:name="_Toc42611232"/>
      <w:bookmarkStart w:id="13" w:name="_Toc120446105"/>
      <w:r>
        <w:rPr>
          <w:rFonts w:hint="eastAsia" w:ascii="宋体" w:hAnsi="宋体" w:eastAsia="宋体" w:cs="Times New Roman"/>
          <w:b/>
          <w:bCs/>
          <w:sz w:val="24"/>
          <w:szCs w:val="24"/>
        </w:rPr>
        <w:t>第六条 保险</w:t>
      </w:r>
      <w:bookmarkEnd w:id="10"/>
      <w:bookmarkEnd w:id="11"/>
      <w:bookmarkEnd w:id="12"/>
      <w:bookmarkEnd w:id="13"/>
    </w:p>
    <w:p>
      <w:pPr>
        <w:spacing w:line="360" w:lineRule="auto"/>
        <w:rPr>
          <w:rFonts w:ascii="宋体" w:hAnsi="宋体" w:eastAsia="宋体" w:cs="Times New Roman"/>
          <w:sz w:val="24"/>
          <w:szCs w:val="24"/>
        </w:rPr>
      </w:pPr>
      <w:bookmarkStart w:id="14" w:name="_Toc29824937"/>
      <w:bookmarkStart w:id="15" w:name="_Toc120446106"/>
      <w:r>
        <w:rPr>
          <w:rFonts w:hint="eastAsia" w:ascii="宋体" w:hAnsi="宋体" w:eastAsia="宋体" w:cs="Times New Roman"/>
          <w:sz w:val="24"/>
          <w:szCs w:val="24"/>
        </w:rPr>
        <w:t>6.1 租赁期间，本租赁内甲方的相关设备及其附属设施的投保由甲方负责，与乙方经营有关的各项保险由乙方投保，乙方应保障甲方不需承担乙方因租用租赁物业和使用租赁物业而导致甲乙双方或第三者的财产损失或人身伤亡的一切开支、责任、损失、索赔或诉讼等法律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6.2 在本合同期限内，甲方应向一家在中国注册的声誉良好的保险公司对上述责任自费购买保险，就租赁物业的建筑结构及设备设施投保财产一切险及</w:t>
      </w:r>
      <w:r>
        <w:rPr>
          <w:rFonts w:ascii="宋体" w:hAnsi="宋体" w:eastAsia="宋体" w:cs="Times New Roman"/>
          <w:sz w:val="24"/>
          <w:szCs w:val="24"/>
          <w:u w:val="single"/>
        </w:rPr>
        <w:t xml:space="preserve">      </w:t>
      </w:r>
      <w:r>
        <w:rPr>
          <w:rFonts w:hint="eastAsia" w:ascii="宋体" w:hAnsi="宋体" w:eastAsia="宋体" w:cs="Times New Roman"/>
          <w:sz w:val="24"/>
          <w:szCs w:val="24"/>
        </w:rPr>
        <w:t>大厦内部公共区域公共责任险。</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6.3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6.4 乙方最迟须在装修期开始前3日内，将购买的装修期保险保险单副本/复印件或保险证明文件（包括但不限于建安工程险和第三者责任险）提交甲方备案。乙方最迟须在营业日开始前5日内将购买的租赁期限内保险单副本/复印件或保险证明文件（包括但不限于财产一切险和公共责任险）提交甲方备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6.5 若一方从保险人处获得的保险金不足以补偿该方实际损失，而该损失又为对方过错所造成，则无过错方有权向对方要求损害赔偿。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6.6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否则，甲方有权向相关部门申请要求注销或变更，乙方不得以被注销或变更为由要求甲方任何赔偿或补偿，由此造成甲方损失的，乙方应负责赔偿，且甲方有权不退还乙方租赁保证金。</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完成证照变更注销的，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甲方有权从乙方支付的租赁保证金内扣除，租赁保证金不足的，有权要求乙方赔偿损失，且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pPr>
        <w:spacing w:line="360" w:lineRule="auto"/>
        <w:rPr>
          <w:rFonts w:ascii="宋体" w:hAnsi="宋体" w:eastAsia="宋体" w:cs="Times New Roman"/>
          <w:sz w:val="24"/>
          <w:szCs w:val="24"/>
        </w:rPr>
      </w:pPr>
      <w:r>
        <w:rPr>
          <w:rFonts w:hint="eastAsia" w:ascii="宋体" w:hAnsi="宋体" w:eastAsia="宋体" w:cs="Times New Roman"/>
          <w:sz w:val="24"/>
          <w:szCs w:val="24"/>
        </w:rPr>
        <w:t>8.1 甲方有义务保证在本合同期限内对</w:t>
      </w:r>
      <w:r>
        <w:rPr>
          <w:rFonts w:ascii="宋体" w:hAnsi="宋体" w:eastAsia="宋体" w:cs="Times New Roman"/>
          <w:sz w:val="24"/>
          <w:szCs w:val="24"/>
          <w:u w:val="single"/>
        </w:rPr>
        <w:t xml:space="preserve">           </w:t>
      </w:r>
      <w:r>
        <w:rPr>
          <w:rFonts w:hint="eastAsia" w:ascii="宋体" w:hAnsi="宋体" w:eastAsia="宋体" w:cs="Times New Roman"/>
          <w:sz w:val="24"/>
          <w:szCs w:val="24"/>
        </w:rPr>
        <w:t>拥有合法有效的出租权利，并保证其受让人和承继人有此等权利。</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10</w:t>
      </w:r>
      <w:r>
        <w:rPr>
          <w:rFonts w:hint="eastAsia" w:ascii="宋体" w:hAnsi="宋体" w:eastAsia="宋体" w:cs="Times New Roman"/>
          <w:sz w:val="24"/>
          <w:szCs w:val="24"/>
        </w:rPr>
        <w:t xml:space="preserve"> 在本合同期限内，甲方有权将租赁物业的所有权进行转让，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 </w:t>
      </w: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甲方保留全权决定重新命名</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的权利和随时改变、替换或取消原有名称的权利。</w:t>
      </w:r>
    </w:p>
    <w:p>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3</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9.14 如甲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乙方欠缴物业管理费或其他款项的，按双方签订的物业管理服务合同的约定处理。</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10.5因乙方原因造成甲方人身、财产损失的，由乙方承担赔偿责任，甲方以书面形式将赔偿事宜通知乙方。因甲方原因造成乙方人身、财产损失的，由甲方承担赔偿责任，乙方以书面形式将赔偿事宜通知乙方。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130382633"/>
      <w:bookmarkStart w:id="21" w:name="_Toc42611237"/>
      <w:bookmarkStart w:id="22" w:name="_Toc131388756"/>
      <w:bookmarkStart w:id="23" w:name="_Toc34403825"/>
      <w:r>
        <w:rPr>
          <w:rFonts w:hint="eastAsia" w:ascii="宋体" w:hAnsi="宋体" w:eastAsia="宋体" w:cs="Times New Roman"/>
          <w:b/>
          <w:bCs/>
          <w:sz w:val="24"/>
          <w:szCs w:val="24"/>
        </w:rPr>
        <w:t>第十一条 合同解除</w:t>
      </w:r>
      <w:bookmarkEnd w:id="20"/>
      <w:bookmarkEnd w:id="21"/>
      <w:bookmarkEnd w:id="22"/>
      <w:bookmarkEnd w:id="23"/>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34403828"/>
      <w:bookmarkStart w:id="26" w:name="_Toc42611239"/>
      <w:r>
        <w:rPr>
          <w:rFonts w:hint="eastAsia" w:ascii="宋体" w:hAnsi="宋体" w:eastAsia="宋体" w:cs="Times New Roman"/>
          <w:b/>
          <w:bCs/>
          <w:sz w:val="24"/>
          <w:szCs w:val="24"/>
        </w:rPr>
        <w:t>第十三条 保密</w:t>
      </w:r>
      <w:bookmarkEnd w:id="25"/>
      <w:bookmarkEnd w:id="26"/>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120446113"/>
      <w:bookmarkStart w:id="28" w:name="_Toc34403829"/>
      <w:bookmarkStart w:id="29" w:name="_Toc42611240"/>
      <w:r>
        <w:rPr>
          <w:rFonts w:hint="eastAsia" w:ascii="宋体" w:hAnsi="宋体" w:eastAsia="宋体" w:cs="Times New Roman"/>
          <w:b/>
          <w:bCs/>
          <w:sz w:val="24"/>
          <w:szCs w:val="24"/>
        </w:rPr>
        <w:t>第十四条 适用法律及争议解决</w:t>
      </w:r>
      <w:bookmarkEnd w:id="27"/>
      <w:bookmarkEnd w:id="28"/>
      <w:bookmarkEnd w:id="29"/>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131388761"/>
      <w:bookmarkStart w:id="31" w:name="_Toc42611241"/>
      <w:bookmarkStart w:id="32" w:name="_Toc34403830"/>
      <w:r>
        <w:rPr>
          <w:rFonts w:hint="eastAsia" w:ascii="宋体" w:hAnsi="宋体" w:eastAsia="宋体" w:cs="Times New Roman"/>
          <w:b/>
          <w:bCs/>
          <w:sz w:val="24"/>
          <w:szCs w:val="24"/>
        </w:rPr>
        <w:t>第十五条 通知</w:t>
      </w:r>
      <w:bookmarkEnd w:id="30"/>
      <w:bookmarkEnd w:id="31"/>
      <w:bookmarkEnd w:id="32"/>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16.6 本合同未尽事宜双方应共同协商并达成书面补充协议，书面补充协议自双方盖章之日起生效。补充协议与本合同具有同等效力，补充协议之规定与本合同不一致的，以补充协议为准。</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16.7 本合同由甲、乙双方法定代表人或委托代理人共同签署（由法定代表人或委托代理人签字，同时加盖法人章）。</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16.8 本合同自乙方向甲方支付了租赁保证金且双方法人或其授权代表签字盖章后正式生效。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16.9 本合同一式肆份，甲、乙双方各执贰份，合同附件为本合同的一部分，与本合同具有同等的法律效力。</w:t>
      </w:r>
    </w:p>
    <w:p>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pPr>
        <w:spacing w:line="360" w:lineRule="auto"/>
        <w:ind w:left="16" w:leftChars="0" w:hanging="16" w:hangingChars="7"/>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7.1</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u w:val="single"/>
          <w:lang w:val="en-US" w:eastAsia="zh-CN"/>
        </w:rPr>
        <w:t xml:space="preserve">           </w:t>
      </w:r>
      <w:r>
        <w:rPr>
          <w:rFonts w:ascii="宋体" w:hAnsi="宋体" w:eastAsia="宋体" w:cs="Times New Roman"/>
          <w:sz w:val="24"/>
          <w:szCs w:val="24"/>
          <w:lang w:val="en-US" w:eastAsia="zh-CN"/>
        </w:rPr>
        <w:t>无形资产的所有权和开发使用权以及</w:t>
      </w:r>
      <w:r>
        <w:rPr>
          <w:rFonts w:hint="default" w:ascii="宋体" w:hAnsi="宋体" w:eastAsia="宋体" w:cs="Times New Roman"/>
          <w:sz w:val="24"/>
          <w:szCs w:val="24"/>
          <w:lang w:val="en-US" w:eastAsia="zh-CN"/>
        </w:rPr>
        <w:t>由此产生的收益、冠名权以及冠名所得全部收益、</w:t>
      </w:r>
      <w:r>
        <w:rPr>
          <w:rFonts w:ascii="宋体" w:hAnsi="宋体" w:eastAsia="宋体" w:cs="Times New Roman"/>
          <w:sz w:val="24"/>
          <w:szCs w:val="24"/>
          <w:lang w:val="en-US" w:eastAsia="zh-CN"/>
        </w:rPr>
        <w:t>LED</w:t>
      </w:r>
      <w:r>
        <w:rPr>
          <w:rFonts w:hint="default" w:ascii="宋体" w:hAnsi="宋体" w:eastAsia="宋体" w:cs="Times New Roman"/>
          <w:sz w:val="24"/>
          <w:szCs w:val="24"/>
          <w:lang w:val="en-US" w:eastAsia="zh-CN"/>
        </w:rPr>
        <w:t>大屏的所有权、运营权以及运营所得收入归常州体育产业集团所有；</w:t>
      </w:r>
      <w:r>
        <w:rPr>
          <w:rFonts w:hint="eastAsia" w:ascii="宋体" w:hAnsi="宋体" w:eastAsia="宋体" w:cs="Times New Roman"/>
          <w:sz w:val="24"/>
          <w:szCs w:val="24"/>
          <w:u w:val="single"/>
          <w:lang w:val="en-US" w:eastAsia="zh-CN"/>
        </w:rPr>
        <w:t xml:space="preserve">              </w:t>
      </w:r>
      <w:r>
        <w:rPr>
          <w:rFonts w:hint="default" w:ascii="宋体" w:hAnsi="宋体" w:eastAsia="宋体" w:cs="Times New Roman"/>
          <w:sz w:val="24"/>
          <w:szCs w:val="24"/>
          <w:lang w:val="en-US" w:eastAsia="zh-CN"/>
        </w:rPr>
        <w:t>不再享有上述权利，仅负责LED大屏的日常管理及维护</w:t>
      </w:r>
      <w:r>
        <w:rPr>
          <w:rFonts w:ascii="宋体" w:hAnsi="宋体" w:eastAsia="宋体" w:cs="Times New Roman"/>
          <w:sz w:val="24"/>
          <w:szCs w:val="24"/>
        </w:rPr>
        <w:t>。</w:t>
      </w:r>
    </w:p>
    <w:p>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法人代表/授权代表:</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法人代表/授权代表:</w:t>
      </w:r>
    </w:p>
    <w:p>
      <w:pPr>
        <w:spacing w:line="360" w:lineRule="auto"/>
        <w:ind w:left="199" w:hanging="199" w:hangingChars="83"/>
        <w:rPr>
          <w:rFonts w:ascii="宋体" w:hAnsi="宋体" w:eastAsia="宋体" w:cs="Times New Roman"/>
          <w:sz w:val="24"/>
          <w:szCs w:val="24"/>
        </w:rPr>
      </w:pPr>
    </w:p>
    <w:p>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146"/>
      <w:bookmarkEnd w:id="35"/>
      <w:bookmarkStart w:id="36" w:name="_Toc130919078"/>
      <w:bookmarkEnd w:id="36"/>
      <w:bookmarkStart w:id="37" w:name="_Toc130919147"/>
      <w:bookmarkEnd w:id="37"/>
      <w:bookmarkStart w:id="38" w:name="_Toc130919079"/>
      <w:bookmarkEnd w:id="38"/>
    </w:p>
    <w:p>
      <w:pPr>
        <w:widowControl/>
        <w:jc w:val="left"/>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pPr>
        <w:spacing w:before="312" w:beforeLines="100" w:after="312" w:afterLines="100" w:line="360" w:lineRule="auto"/>
        <w:ind w:left="198" w:hanging="198" w:hangingChars="82"/>
        <w:rPr>
          <w:rFonts w:ascii="宋体" w:hAnsi="宋体" w:eastAsia="宋体" w:cs="Times New Roman"/>
          <w:b/>
          <w:sz w:val="24"/>
          <w:szCs w:val="24"/>
        </w:rPr>
      </w:pPr>
    </w:p>
    <w:p>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pPr>
        <w:rPr>
          <w:rFonts w:ascii="宋体" w:hAnsi="宋体" w:eastAsia="宋体" w:cs="Times New Roman"/>
          <w:sz w:val="24"/>
          <w:szCs w:val="24"/>
        </w:rPr>
      </w:pPr>
      <w:r>
        <w:rPr>
          <w:rFonts w:hint="eastAsia" w:ascii="宋体" w:hAnsi="宋体" w:eastAsia="宋体" w:cs="Times New Roman"/>
          <w:sz w:val="24"/>
          <w:szCs w:val="24"/>
        </w:rPr>
        <w:br w:type="page"/>
      </w:r>
    </w:p>
    <w:p>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pPr>
        <w:spacing w:line="360" w:lineRule="auto"/>
        <w:rPr>
          <w:rFonts w:ascii="宋体" w:hAnsi="宋体" w:eastAsia="宋体" w:cs="Times New Roman"/>
          <w:b/>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29563025"/>
      <w:bookmarkStart w:id="42" w:name="_Toc406700383"/>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pPr>
              <w:spacing w:line="360" w:lineRule="auto"/>
              <w:ind w:left="901" w:leftChars="229" w:hanging="420"/>
              <w:rPr>
                <w:rFonts w:ascii="宋体" w:hAnsi="宋体" w:eastAsia="宋体" w:cs="Times New Roman"/>
                <w:szCs w:val="24"/>
              </w:rPr>
            </w:pPr>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Times New Roman"/>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r>
        <w:tblPrEx>
          <w:tblCellMar>
            <w:top w:w="0" w:type="dxa"/>
            <w:left w:w="108" w:type="dxa"/>
            <w:bottom w:w="0" w:type="dxa"/>
            <w:right w:w="108" w:type="dxa"/>
          </w:tblCellMar>
        </w:tblPrEx>
        <w:trPr>
          <w:trHeight w:val="810" w:hRule="atLeast"/>
        </w:trPr>
        <w:tc>
          <w:tcPr>
            <w:tcW w:w="2228" w:type="dxa"/>
            <w:tcBorders>
              <w:top w:val="nil"/>
              <w:left w:val="single" w:color="auto" w:sz="4" w:space="0"/>
              <w:bottom w:val="nil"/>
              <w:right w:val="single" w:color="auto" w:sz="4" w:space="0"/>
            </w:tcBorders>
            <w:vAlign w:val="center"/>
          </w:tcPr>
          <w:p>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nil"/>
              <w:left w:val="nil"/>
              <w:bottom w:val="nil"/>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nil"/>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r>
        <w:tblPrEx>
          <w:tblCellMar>
            <w:top w:w="0" w:type="dxa"/>
            <w:left w:w="108" w:type="dxa"/>
            <w:bottom w:w="0" w:type="dxa"/>
            <w:right w:w="108" w:type="dxa"/>
          </w:tblCellMar>
        </w:tblPrEx>
        <w:trPr>
          <w:trHeight w:val="80" w:hRule="atLeast"/>
        </w:trPr>
        <w:tc>
          <w:tcPr>
            <w:tcW w:w="2228" w:type="dxa"/>
            <w:tcBorders>
              <w:top w:val="nil"/>
              <w:left w:val="single" w:color="auto" w:sz="4" w:space="0"/>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4380" w:type="dxa"/>
            <w:tcBorders>
              <w:top w:val="nil"/>
              <w:left w:val="nil"/>
              <w:bottom w:val="single" w:color="auto" w:sz="4" w:space="0"/>
              <w:right w:val="single" w:color="auto" w:sz="4" w:space="0"/>
            </w:tcBorders>
            <w:vAlign w:val="center"/>
          </w:tcPr>
          <w:p>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pPr>
              <w:spacing w:line="360" w:lineRule="auto"/>
              <w:ind w:left="1199" w:leftChars="371" w:hanging="420" w:hangingChars="200"/>
              <w:jc w:val="center"/>
              <w:rPr>
                <w:rFonts w:ascii="宋体" w:hAnsi="宋体" w:eastAsia="宋体" w:cs="宋体"/>
                <w:szCs w:val="24"/>
              </w:rPr>
            </w:pPr>
          </w:p>
        </w:tc>
      </w:tr>
    </w:tbl>
    <w:p>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pPr>
        <w:spacing w:line="360" w:lineRule="auto"/>
        <w:ind w:left="674" w:leftChars="321" w:firstLine="480" w:firstLineChars="200"/>
        <w:rPr>
          <w:rFonts w:ascii="宋体" w:hAnsi="宋体" w:eastAsia="宋体" w:cs="Times New Roman"/>
          <w:sz w:val="24"/>
          <w:szCs w:val="24"/>
        </w:rPr>
      </w:pPr>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日（下称“验收日”），甲方与乙方依据《租赁合同》（下称“租赁合同”）约定，对位于常州市</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室大厦进行了交接验收。</w:t>
      </w:r>
    </w:p>
    <w:p>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甲方/□乙方移交的大厦符合租赁合同约定的交付条件，□甲方/□乙方没有异议。甲、乙双方确认，自验收日起，□甲方/□乙方正式将该大厦移交给□甲方/□乙方，由□甲方/□乙方按租赁合同的约定的用途使用。</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交付方（盖章）：</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pPr>
        <w:spacing w:line="360" w:lineRule="auto"/>
        <w:ind w:left="549" w:leftChars="167" w:hanging="198" w:hangingChars="82"/>
        <w:rPr>
          <w:rFonts w:ascii="宋体" w:hAnsi="宋体" w:eastAsia="宋体" w:cs="Times New Roman"/>
          <w:b/>
          <w:sz w:val="24"/>
          <w:szCs w:val="24"/>
        </w:rPr>
      </w:pP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pPr>
        <w:spacing w:line="360" w:lineRule="auto"/>
        <w:ind w:left="1261" w:hanging="482"/>
        <w:rPr>
          <w:rFonts w:ascii="宋体" w:hAnsi="宋体" w:eastAsia="宋体" w:cs="Times New Roman"/>
          <w:b/>
          <w:sz w:val="24"/>
          <w:szCs w:val="24"/>
        </w:rPr>
      </w:pPr>
    </w:p>
    <w:p>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pPr>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tr>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消火栓泵、消防稳压泵</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pPr>
              <w:rPr>
                <w:rFonts w:ascii="宋体" w:hAnsi="宋体" w:eastAsia="宋体" w:cs="宋体"/>
                <w:color w:val="000000"/>
                <w:sz w:val="20"/>
                <w:szCs w:val="20"/>
              </w:rPr>
            </w:pPr>
          </w:p>
        </w:tc>
      </w:tr>
    </w:tbl>
    <w:p>
      <w:pPr>
        <w:spacing w:line="360" w:lineRule="auto"/>
        <w:rPr>
          <w:rFonts w:ascii="宋体" w:hAnsi="宋体" w:eastAsia="宋体" w:cs="Times New Roman"/>
          <w:b/>
          <w:sz w:val="24"/>
          <w:szCs w:val="24"/>
        </w:rPr>
      </w:pPr>
    </w:p>
    <w:p>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甲方：</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w:t>
      </w: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p>
    <w:p>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w:t>
      </w: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
      <w:pPr>
        <w:spacing w:line="360" w:lineRule="auto"/>
        <w:ind w:left="552" w:leftChars="168" w:hanging="199" w:hangingChars="83"/>
        <w:rPr>
          <w:rFonts w:ascii="宋体" w:hAnsi="宋体" w:eastAsia="宋体" w:cs="Times New Roman"/>
          <w:sz w:val="24"/>
          <w:szCs w:val="24"/>
        </w:rPr>
      </w:pPr>
    </w:p>
    <w:p>
      <w:pPr>
        <w:spacing w:line="360" w:lineRule="auto"/>
        <w:ind w:left="552" w:leftChars="168" w:hanging="199" w:hangingChars="83"/>
        <w:rPr>
          <w:rFonts w:ascii="宋体" w:hAnsi="宋体" w:eastAsia="宋体" w:cs="Times New Roman"/>
          <w:sz w:val="24"/>
          <w:szCs w:val="24"/>
        </w:rPr>
      </w:pPr>
    </w:p>
    <w:p>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pPr>
        <w:spacing w:line="360" w:lineRule="auto"/>
        <w:ind w:left="1261" w:hanging="482"/>
        <w:rPr>
          <w:rFonts w:ascii="宋体" w:hAnsi="宋体" w:eastAsia="宋体" w:cs="Times New Roman"/>
          <w:b/>
          <w:sz w:val="24"/>
          <w:szCs w:val="24"/>
        </w:rPr>
      </w:pPr>
    </w:p>
    <w:p>
      <w:pPr>
        <w:spacing w:line="360" w:lineRule="auto"/>
        <w:ind w:left="549" w:leftChars="167" w:hanging="198" w:hangingChars="82"/>
        <w:rPr>
          <w:rFonts w:ascii="宋体" w:hAnsi="宋体" w:eastAsia="宋体" w:cs="Times New Roman"/>
          <w:b/>
          <w:sz w:val="24"/>
          <w:szCs w:val="24"/>
        </w:rPr>
      </w:pPr>
    </w:p>
    <w:p>
      <w:pPr>
        <w:widowControl/>
        <w:jc w:val="left"/>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1261" w:hanging="482"/>
        <w:rPr>
          <w:rFonts w:ascii="宋体" w:hAnsi="宋体" w:eastAsia="宋体" w:cs="Times New Roman"/>
          <w:b/>
          <w:sz w:val="24"/>
          <w:szCs w:val="24"/>
        </w:rPr>
      </w:pPr>
    </w:p>
    <w:p>
      <w:pPr>
        <w:spacing w:line="360" w:lineRule="auto"/>
        <w:ind w:left="568" w:leftChars="176" w:hanging="198" w:hangingChars="82"/>
        <w:rPr>
          <w:rFonts w:ascii="宋体" w:hAnsi="宋体" w:eastAsia="宋体" w:cs="Times New Roman"/>
          <w:b/>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1259" w:hanging="480"/>
        <w:rPr>
          <w:rFonts w:ascii="宋体" w:hAnsi="宋体" w:eastAsia="宋体" w:cs="Times New Roman"/>
          <w:sz w:val="24"/>
          <w:szCs w:val="24"/>
        </w:rPr>
      </w:pPr>
    </w:p>
    <w:p>
      <w:pPr>
        <w:spacing w:line="360" w:lineRule="auto"/>
        <w:ind w:left="562" w:leftChars="173" w:hanging="199" w:hangingChars="83"/>
        <w:rPr>
          <w:rFonts w:ascii="宋体" w:hAnsi="宋体" w:eastAsia="宋体" w:cs="Times New Roman"/>
          <w:sz w:val="24"/>
          <w:szCs w:val="24"/>
        </w:rPr>
      </w:pPr>
    </w:p>
    <w:p>
      <w:pPr>
        <w:spacing w:line="360" w:lineRule="auto"/>
        <w:ind w:left="567" w:leftChars="175" w:hanging="199" w:hangingChars="83"/>
        <w:rPr>
          <w:rFonts w:ascii="宋体" w:hAnsi="宋体" w:eastAsia="宋体" w:cs="Times New Roman"/>
          <w:sz w:val="24"/>
          <w:szCs w:val="24"/>
        </w:rPr>
      </w:pPr>
    </w:p>
    <w:p>
      <w:pPr>
        <w:spacing w:line="360" w:lineRule="auto"/>
        <w:ind w:left="568" w:leftChars="176" w:hanging="198" w:hangingChars="82"/>
        <w:rPr>
          <w:rFonts w:ascii="宋体" w:hAnsi="宋体" w:eastAsia="宋体" w:cs="Times New Roman"/>
          <w:b/>
          <w:sz w:val="24"/>
          <w:szCs w:val="24"/>
        </w:rPr>
      </w:pPr>
    </w:p>
    <w:p>
      <w:pPr>
        <w:spacing w:line="360" w:lineRule="auto"/>
        <w:ind w:left="568" w:leftChars="176" w:hanging="198" w:hangingChars="82"/>
        <w:rPr>
          <w:rFonts w:ascii="宋体" w:hAnsi="宋体" w:eastAsia="宋体" w:cs="Times New Roman"/>
          <w:b/>
          <w:sz w:val="24"/>
          <w:szCs w:val="24"/>
        </w:rPr>
      </w:pPr>
    </w:p>
    <w:p>
      <w:pPr>
        <w:widowControl/>
        <w:jc w:val="left"/>
        <w:rPr>
          <w:rFonts w:ascii="宋体" w:hAnsi="宋体" w:eastAsia="宋体" w:cs="Times New Roman"/>
          <w:b/>
          <w:sz w:val="24"/>
          <w:szCs w:val="24"/>
        </w:rPr>
      </w:pPr>
      <w:r>
        <w:rPr>
          <w:rFonts w:ascii="宋体" w:hAnsi="宋体" w:eastAsia="宋体" w:cs="Times New Roman"/>
          <w:b/>
          <w:sz w:val="24"/>
          <w:szCs w:val="24"/>
        </w:rPr>
        <w:br w:type="page"/>
      </w:r>
    </w:p>
    <w:p>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(以下简称甲方)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(以下简称乙方)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pPr>
        <w:spacing w:line="360" w:lineRule="auto"/>
        <w:rPr>
          <w:rFonts w:ascii="宋体" w:hAnsi="宋体" w:eastAsia="宋体" w:cs="Times New Roman"/>
          <w:sz w:val="24"/>
          <w:szCs w:val="24"/>
        </w:rPr>
      </w:pPr>
    </w:p>
    <w:p>
      <w:pPr>
        <w:spacing w:line="360" w:lineRule="auto"/>
        <w:rPr>
          <w:rFonts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lang w:val="en-US" w:eastAsia="zh-CN"/>
        </w:rPr>
        <w:t xml:space="preserve"> </w:t>
      </w:r>
      <w:bookmarkStart w:id="43" w:name="_GoBack"/>
      <w:bookmarkEnd w:id="43"/>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p>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ZjYjhiNTE2ODNhNjE4ODAxN2UwZTg0NmExMGI2OGIifQ=="/>
  </w:docVars>
  <w:rsids>
    <w:rsidRoot w:val="00261AB3"/>
    <w:rsid w:val="00261AB3"/>
    <w:rsid w:val="0036139B"/>
    <w:rsid w:val="00E638D8"/>
    <w:rsid w:val="00EE7CDE"/>
    <w:rsid w:val="2F2E7C10"/>
    <w:rsid w:val="45595030"/>
    <w:rsid w:val="6C5170FE"/>
    <w:rsid w:val="77846CDF"/>
    <w:rsid w:val="78E42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qFormat/>
    <w:uiPriority w:val="0"/>
    <w:pPr>
      <w:ind w:left="571" w:leftChars="371" w:hanging="200" w:hangingChars="200"/>
    </w:pPr>
    <w:rPr>
      <w:rFonts w:eastAsia="微软雅黑" w:cs="Times New Roman"/>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qFormat/>
    <w:uiPriority w:val="0"/>
    <w:pPr>
      <w:ind w:left="571" w:leftChars="371" w:hanging="200" w:hangingChars="200"/>
    </w:pPr>
    <w:rPr>
      <w:rFonts w:eastAsia="微软雅黑" w:cs="Times New Roman"/>
      <w:b/>
      <w:bCs/>
      <w:sz w:val="24"/>
    </w:rPr>
  </w:style>
  <w:style w:type="table" w:styleId="20">
    <w:name w:val="Table Grid"/>
    <w:basedOn w:val="1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rPr>
      <w:rFonts w:cs="Times New Roman"/>
    </w:rPr>
  </w:style>
  <w:style w:type="character" w:styleId="23">
    <w:name w:val="FollowedHyperlink"/>
    <w:basedOn w:val="21"/>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semiHidden/>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rFonts w:cs="Times New Roman"/>
      <w:sz w:val="21"/>
      <w:szCs w:val="21"/>
    </w:rPr>
  </w:style>
  <w:style w:type="character" w:styleId="26">
    <w:name w:val="footnote reference"/>
    <w:basedOn w:val="21"/>
    <w:qFormat/>
    <w:uiPriority w:val="0"/>
    <w:rPr>
      <w:vertAlign w:val="superscript"/>
    </w:rPr>
  </w:style>
  <w:style w:type="character" w:customStyle="1" w:styleId="27">
    <w:name w:val="标题 1 字符"/>
    <w:basedOn w:val="21"/>
    <w:link w:val="2"/>
    <w:qFormat/>
    <w:uiPriority w:val="0"/>
    <w:rPr>
      <w:rFonts w:ascii="Times New Roman" w:hAnsi="Times New Roman" w:eastAsia="黑体" w:cs="Times New Roman"/>
      <w:bCs/>
      <w:kern w:val="44"/>
      <w:sz w:val="44"/>
      <w:szCs w:val="44"/>
    </w:rPr>
  </w:style>
  <w:style w:type="character" w:customStyle="1" w:styleId="28">
    <w:name w:val="标题 2 字符"/>
    <w:basedOn w:val="21"/>
    <w:link w:val="3"/>
    <w:qFormat/>
    <w:uiPriority w:val="0"/>
    <w:rPr>
      <w:rFonts w:ascii="Times New Roman" w:hAnsi="Times New Roman" w:eastAsia="黑体" w:cs="Times New Roman"/>
      <w:sz w:val="24"/>
      <w:szCs w:val="20"/>
    </w:rPr>
  </w:style>
  <w:style w:type="character" w:customStyle="1" w:styleId="29">
    <w:name w:val="标题 3 字符"/>
    <w:basedOn w:val="21"/>
    <w:link w:val="5"/>
    <w:qFormat/>
    <w:uiPriority w:val="0"/>
    <w:rPr>
      <w:rFonts w:ascii="Times New Roman" w:hAnsi="Times New Roman" w:eastAsia="宋体" w:cs="Times New Roman"/>
      <w:b/>
      <w:bCs/>
      <w:sz w:val="32"/>
      <w:szCs w:val="32"/>
    </w:rPr>
  </w:style>
  <w:style w:type="character" w:customStyle="1" w:styleId="30">
    <w:name w:val="页眉 字符"/>
    <w:basedOn w:val="21"/>
    <w:link w:val="14"/>
    <w:qFormat/>
    <w:uiPriority w:val="99"/>
    <w:rPr>
      <w:sz w:val="18"/>
      <w:szCs w:val="18"/>
    </w:rPr>
  </w:style>
  <w:style w:type="character" w:customStyle="1" w:styleId="31">
    <w:name w:val="页脚 字符"/>
    <w:basedOn w:val="21"/>
    <w:link w:val="13"/>
    <w:qFormat/>
    <w:uiPriority w:val="99"/>
    <w:rPr>
      <w:sz w:val="18"/>
      <w:szCs w:val="18"/>
    </w:rPr>
  </w:style>
  <w:style w:type="character" w:customStyle="1" w:styleId="32">
    <w:name w:val="批注文字 字符"/>
    <w:basedOn w:val="21"/>
    <w:link w:val="7"/>
    <w:qFormat/>
    <w:uiPriority w:val="0"/>
    <w:rPr>
      <w:szCs w:val="24"/>
    </w:rPr>
  </w:style>
  <w:style w:type="character" w:customStyle="1" w:styleId="33">
    <w:name w:val="批注主题 字符"/>
    <w:basedOn w:val="32"/>
    <w:link w:val="18"/>
    <w:qFormat/>
    <w:uiPriority w:val="0"/>
    <w:rPr>
      <w:rFonts w:eastAsia="微软雅黑" w:cs="Times New Roman"/>
      <w:b/>
      <w:bCs/>
      <w:sz w:val="24"/>
      <w:szCs w:val="24"/>
    </w:rPr>
  </w:style>
  <w:style w:type="character" w:customStyle="1" w:styleId="34">
    <w:name w:val="文档结构图 字符"/>
    <w:basedOn w:val="21"/>
    <w:link w:val="6"/>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qFormat/>
    <w:uiPriority w:val="0"/>
    <w:rPr>
      <w:rFonts w:ascii="华文中宋" w:hAnsi="华文中宋" w:eastAsia="华文中宋" w:cs="Times New Roman"/>
      <w:sz w:val="24"/>
      <w:szCs w:val="24"/>
    </w:rPr>
  </w:style>
  <w:style w:type="character" w:customStyle="1" w:styleId="36">
    <w:name w:val="纯文本 字符"/>
    <w:basedOn w:val="21"/>
    <w:link w:val="9"/>
    <w:qFormat/>
    <w:uiPriority w:val="0"/>
    <w:rPr>
      <w:rFonts w:ascii="宋体" w:hAnsi="Courier New" w:eastAsia="宋体" w:cs="Courier New"/>
      <w:szCs w:val="21"/>
    </w:rPr>
  </w:style>
  <w:style w:type="character" w:customStyle="1" w:styleId="37">
    <w:name w:val="日期 字符"/>
    <w:basedOn w:val="21"/>
    <w:link w:val="10"/>
    <w:qFormat/>
    <w:uiPriority w:val="0"/>
    <w:rPr>
      <w:rFonts w:ascii="Times New Roman" w:hAnsi="Times New Roman" w:eastAsia="宋体" w:cs="Times New Roman"/>
      <w:szCs w:val="24"/>
    </w:rPr>
  </w:style>
  <w:style w:type="character" w:customStyle="1" w:styleId="38">
    <w:name w:val="批注框文本 字符"/>
    <w:basedOn w:val="21"/>
    <w:link w:val="12"/>
    <w:qFormat/>
    <w:uiPriority w:val="0"/>
    <w:rPr>
      <w:rFonts w:eastAsia="微软雅黑" w:cs="Times New Roman"/>
      <w:sz w:val="18"/>
      <w:szCs w:val="18"/>
    </w:rPr>
  </w:style>
  <w:style w:type="character" w:customStyle="1" w:styleId="39">
    <w:name w:val="脚注文本 字符"/>
    <w:basedOn w:val="21"/>
    <w:link w:val="16"/>
    <w:qFormat/>
    <w:uiPriority w:val="0"/>
    <w:rPr>
      <w:rFonts w:ascii="Times New Roman" w:hAnsi="Times New Roman" w:eastAsia="宋体" w:cs="Times New Roman"/>
      <w:sz w:val="18"/>
      <w:szCs w:val="18"/>
    </w:rPr>
  </w:style>
  <w:style w:type="paragraph" w:customStyle="1" w:styleId="40">
    <w:name w:val="标题1"/>
    <w:basedOn w:val="1"/>
    <w:next w:val="1"/>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qFormat/>
    <w:uiPriority w:val="0"/>
    <w:rPr>
      <w:rFonts w:ascii="Calibri Light" w:hAnsi="Calibri Light" w:eastAsia="宋体" w:cs="Times New Roman"/>
      <w:b/>
      <w:bCs/>
      <w:kern w:val="2"/>
      <w:sz w:val="32"/>
      <w:szCs w:val="32"/>
    </w:rPr>
  </w:style>
  <w:style w:type="character" w:customStyle="1" w:styleId="42">
    <w:name w:val="访问过的超链接1"/>
    <w:basedOn w:val="21"/>
    <w:qFormat/>
    <w:uiPriority w:val="0"/>
    <w:rPr>
      <w:color w:val="954F72"/>
      <w:u w:val="single"/>
    </w:rPr>
  </w:style>
  <w:style w:type="character" w:customStyle="1" w:styleId="43">
    <w:name w:val="超链接1"/>
    <w:basedOn w:val="21"/>
    <w:unhideWhenUsed/>
    <w:qFormat/>
    <w:uiPriority w:val="99"/>
    <w:rPr>
      <w:color w:val="0563C1"/>
      <w:u w:val="single"/>
    </w:rPr>
  </w:style>
  <w:style w:type="character" w:customStyle="1" w:styleId="44">
    <w:name w:val="批注文字 Char"/>
    <w:qFormat/>
    <w:uiPriority w:val="0"/>
    <w:rPr>
      <w:rFonts w:cs="Times New Roman"/>
      <w:kern w:val="2"/>
      <w:sz w:val="24"/>
      <w:szCs w:val="24"/>
    </w:rPr>
  </w:style>
  <w:style w:type="character" w:customStyle="1" w:styleId="45">
    <w:name w:val="批注主题 Char"/>
    <w:qFormat/>
    <w:uiPriority w:val="0"/>
    <w:rPr>
      <w:rFonts w:cs="Times New Roman"/>
      <w:b/>
      <w:bCs/>
      <w:kern w:val="2"/>
      <w:sz w:val="24"/>
      <w:szCs w:val="24"/>
    </w:rPr>
  </w:style>
  <w:style w:type="character" w:customStyle="1" w:styleId="46">
    <w:name w:val="批注框文本 Char"/>
    <w:qFormat/>
    <w:uiPriority w:val="0"/>
    <w:rPr>
      <w:rFonts w:cs="Times New Roman"/>
      <w:kern w:val="2"/>
      <w:sz w:val="18"/>
      <w:szCs w:val="18"/>
    </w:rPr>
  </w:style>
  <w:style w:type="paragraph" w:customStyle="1" w:styleId="47">
    <w:name w:val="Char"/>
    <w:basedOn w:val="1"/>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unhideWhenUsed/>
    <w:qFormat/>
    <w:uiPriority w:val="99"/>
    <w:pPr>
      <w:ind w:firstLine="420" w:firstLineChars="200"/>
    </w:pPr>
    <w:rPr>
      <w:rFonts w:ascii="Times New Roman" w:hAnsi="Times New Roman" w:eastAsia="宋体" w:cs="Times New Roman"/>
      <w:szCs w:val="20"/>
    </w:rPr>
  </w:style>
  <w:style w:type="character" w:customStyle="1" w:styleId="51">
    <w:name w:val="font01"/>
    <w:qFormat/>
    <w:uiPriority w:val="0"/>
    <w:rPr>
      <w:rFonts w:hint="eastAsia" w:ascii="华文细黑" w:hAnsi="华文细黑" w:eastAsia="华文细黑" w:cs="华文细黑"/>
      <w:b/>
      <w:color w:val="000000"/>
      <w:sz w:val="18"/>
      <w:szCs w:val="18"/>
      <w:u w:val="none"/>
    </w:rPr>
  </w:style>
  <w:style w:type="character" w:customStyle="1" w:styleId="52">
    <w:name w:val="font31"/>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qFormat/>
    <w:uiPriority w:val="0"/>
    <w:rPr>
      <w:rFonts w:ascii="Times New Roman" w:hAnsi="Times New Roman" w:eastAsia="宋体" w:cs="Times New Roman"/>
      <w:sz w:val="24"/>
      <w:szCs w:val="24"/>
    </w:rPr>
  </w:style>
  <w:style w:type="paragraph" w:customStyle="1" w:styleId="54">
    <w:name w:val="WW-HTML 预先格式化"/>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qFormat/>
    <w:uiPriority w:val="0"/>
    <w:pPr>
      <w:widowControl/>
    </w:pPr>
    <w:rPr>
      <w:rFonts w:ascii="Times New Roman" w:hAnsi="Times New Roman" w:eastAsia="宋体" w:cs="Times New Roman"/>
      <w:kern w:val="0"/>
      <w:szCs w:val="21"/>
    </w:rPr>
  </w:style>
  <w:style w:type="character" w:customStyle="1" w:styleId="56">
    <w:name w:val="标题 Char"/>
    <w:qFormat/>
    <w:uiPriority w:val="0"/>
    <w:rPr>
      <w:rFonts w:ascii="Cambria" w:hAnsi="Cambria" w:cs="Times New Roman"/>
      <w:b/>
      <w:bCs/>
      <w:kern w:val="2"/>
      <w:sz w:val="32"/>
      <w:szCs w:val="32"/>
    </w:rPr>
  </w:style>
  <w:style w:type="paragraph" w:customStyle="1" w:styleId="57">
    <w:name w:val="TOC Heading"/>
    <w:basedOn w:val="2"/>
    <w:next w:val="1"/>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qFormat/>
    <w:uiPriority w:val="99"/>
    <w:rPr>
      <w:kern w:val="2"/>
      <w:sz w:val="18"/>
      <w:szCs w:val="24"/>
    </w:rPr>
  </w:style>
  <w:style w:type="character" w:customStyle="1" w:styleId="59">
    <w:name w:val="页眉 Char"/>
    <w:qFormat/>
    <w:uiPriority w:val="99"/>
    <w:rPr>
      <w:kern w:val="2"/>
      <w:sz w:val="18"/>
      <w:szCs w:val="24"/>
    </w:rPr>
  </w:style>
  <w:style w:type="character" w:customStyle="1" w:styleId="60">
    <w:name w:val="文档结构图 Char"/>
    <w:qFormat/>
    <w:uiPriority w:val="0"/>
    <w:rPr>
      <w:rFonts w:ascii="宋体"/>
      <w:kern w:val="2"/>
      <w:sz w:val="18"/>
      <w:szCs w:val="18"/>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0BE6B-3075-467A-B708-BC94A4D00AD5}">
  <ds:schemaRefs/>
</ds:datastoreItem>
</file>

<file path=docProps/app.xml><?xml version="1.0" encoding="utf-8"?>
<Properties xmlns="http://schemas.openxmlformats.org/officeDocument/2006/extended-properties" xmlns:vt="http://schemas.openxmlformats.org/officeDocument/2006/docPropsVTypes">
  <Template>Normal</Template>
  <Pages>32</Pages>
  <Words>3062</Words>
  <Characters>17460</Characters>
  <Lines>145</Lines>
  <Paragraphs>40</Paragraphs>
  <TotalTime>3</TotalTime>
  <ScaleCrop>false</ScaleCrop>
  <LinksUpToDate>false</LinksUpToDate>
  <CharactersWithSpaces>20482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2021-06-21T08:49:00Z</dcterms:created>
  <dc:creator>Administrator</dc:creator>
  <cp:lastModifiedBy>Administrator</cp:lastModifiedBy>
  <dcterms:modified xsi:type="dcterms:W3CDTF">2023-03-24T06:57:58Z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30F167ECBB164B7EB6819DA849046814</vt:lpwstr>
  </property>
</Properties>
</file>